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3F" w:rsidRDefault="00BF01F0" w:rsidP="0018153F">
      <w:pPr>
        <w:jc w:val="center"/>
      </w:pPr>
      <w:r>
        <w:rPr>
          <w:noProof/>
        </w:rPr>
        <w:drawing>
          <wp:inline distT="0" distB="0" distL="0" distR="0" wp14:anchorId="1BF3F714" wp14:editId="1FC605F4">
            <wp:extent cx="5365115" cy="1167765"/>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115" cy="1167765"/>
                    </a:xfrm>
                    <a:prstGeom prst="rect">
                      <a:avLst/>
                    </a:prstGeom>
                    <a:noFill/>
                    <a:ln>
                      <a:noFill/>
                    </a:ln>
                  </pic:spPr>
                </pic:pic>
              </a:graphicData>
            </a:graphic>
          </wp:inline>
        </w:drawing>
      </w:r>
    </w:p>
    <w:p w:rsidR="0018153F" w:rsidRDefault="0018153F" w:rsidP="0018153F">
      <w:r>
        <w:t xml:space="preserve"> </w:t>
      </w:r>
      <w:r>
        <w:tab/>
      </w:r>
      <w:r>
        <w:tab/>
      </w:r>
      <w:r>
        <w:tab/>
      </w:r>
      <w:r>
        <w:tab/>
      </w:r>
      <w:r>
        <w:tab/>
        <w:t xml:space="preserve">           </w:t>
      </w:r>
      <w:r w:rsidRPr="0018153F">
        <w:t>No. TDAP-1(6)/2016/</w:t>
      </w:r>
      <w:r w:rsidRPr="0018153F">
        <w:tab/>
      </w:r>
      <w:r w:rsidRPr="0018153F">
        <w:tab/>
      </w:r>
      <w:r w:rsidRPr="0018153F">
        <w:tab/>
      </w:r>
      <w:r w:rsidRPr="0018153F">
        <w:tab/>
      </w:r>
      <w:r w:rsidRPr="0018153F">
        <w:tab/>
        <w:t xml:space="preserve"> </w:t>
      </w:r>
      <w:r>
        <w:tab/>
        <w:t xml:space="preserve">        </w:t>
      </w:r>
      <w:r w:rsidRPr="0018153F">
        <w:t>Swat the 1</w:t>
      </w:r>
      <w:r w:rsidRPr="0018153F">
        <w:rPr>
          <w:vertAlign w:val="superscript"/>
        </w:rPr>
        <w:t>st</w:t>
      </w:r>
      <w:r w:rsidRPr="0018153F">
        <w:t xml:space="preserve"> Oct, 2020</w:t>
      </w:r>
    </w:p>
    <w:p w:rsidR="0018153F" w:rsidRDefault="0018153F" w:rsidP="0018153F"/>
    <w:p w:rsidR="0018153F" w:rsidRDefault="0018153F" w:rsidP="0018153F">
      <w:pPr>
        <w:jc w:val="center"/>
        <w:rPr>
          <w:b/>
          <w:sz w:val="24"/>
          <w:u w:val="single"/>
        </w:rPr>
      </w:pPr>
      <w:r>
        <w:rPr>
          <w:b/>
          <w:sz w:val="24"/>
          <w:u w:val="single"/>
        </w:rPr>
        <w:t>MONTHLY PRODUCT PROGRESS REPORT FOR THE MONTH OF SEPTEMBER, 2020</w:t>
      </w:r>
    </w:p>
    <w:p w:rsidR="0018153F" w:rsidRDefault="0018153F" w:rsidP="0018153F">
      <w:pPr>
        <w:jc w:val="center"/>
        <w:rPr>
          <w:b/>
          <w:sz w:val="24"/>
          <w:u w:val="single"/>
        </w:rPr>
      </w:pPr>
    </w:p>
    <w:p w:rsidR="0018153F" w:rsidRDefault="00302146" w:rsidP="00302146">
      <w:pPr>
        <w:ind w:firstLine="720"/>
        <w:jc w:val="both"/>
        <w:rPr>
          <w:sz w:val="24"/>
        </w:rPr>
      </w:pPr>
      <w:r>
        <w:rPr>
          <w:sz w:val="24"/>
        </w:rPr>
        <w:t xml:space="preserve">        </w:t>
      </w:r>
      <w:r w:rsidR="0018153F">
        <w:rPr>
          <w:sz w:val="24"/>
        </w:rPr>
        <w:t xml:space="preserve">Name &amp; Designation of Officer: Mr. </w:t>
      </w:r>
      <w:proofErr w:type="spellStart"/>
      <w:r w:rsidR="0018153F">
        <w:rPr>
          <w:sz w:val="24"/>
        </w:rPr>
        <w:t>Noman</w:t>
      </w:r>
      <w:proofErr w:type="spellEnd"/>
      <w:r w:rsidR="0018153F">
        <w:rPr>
          <w:sz w:val="24"/>
        </w:rPr>
        <w:t xml:space="preserve"> Bashir, Deputy Director, TDAP, SRO Swat.</w:t>
      </w:r>
    </w:p>
    <w:p w:rsidR="0018153F" w:rsidRPr="0018153F" w:rsidRDefault="0018153F" w:rsidP="0018153F">
      <w:pPr>
        <w:jc w:val="both"/>
        <w:rPr>
          <w:sz w:val="24"/>
        </w:rPr>
      </w:pPr>
    </w:p>
    <w:tbl>
      <w:tblPr>
        <w:tblStyle w:val="TableGrid"/>
        <w:tblW w:w="0" w:type="auto"/>
        <w:tblInd w:w="1300" w:type="dxa"/>
        <w:tblLook w:val="04A0" w:firstRow="1" w:lastRow="0" w:firstColumn="1" w:lastColumn="0" w:noHBand="0" w:noVBand="1"/>
      </w:tblPr>
      <w:tblGrid>
        <w:gridCol w:w="558"/>
        <w:gridCol w:w="3353"/>
        <w:gridCol w:w="3353"/>
        <w:gridCol w:w="3359"/>
        <w:gridCol w:w="3354"/>
      </w:tblGrid>
      <w:tr w:rsidR="0018153F" w:rsidTr="00302146">
        <w:tc>
          <w:tcPr>
            <w:tcW w:w="558" w:type="dxa"/>
            <w:vAlign w:val="center"/>
          </w:tcPr>
          <w:p w:rsidR="0018153F" w:rsidRPr="0018153F" w:rsidRDefault="0018153F" w:rsidP="00C13FB4">
            <w:pPr>
              <w:jc w:val="center"/>
              <w:rPr>
                <w:b/>
                <w:sz w:val="24"/>
              </w:rPr>
            </w:pPr>
            <w:r w:rsidRPr="0018153F">
              <w:rPr>
                <w:b/>
                <w:sz w:val="24"/>
              </w:rPr>
              <w:t>S#</w:t>
            </w:r>
          </w:p>
        </w:tc>
        <w:tc>
          <w:tcPr>
            <w:tcW w:w="3353" w:type="dxa"/>
            <w:vAlign w:val="center"/>
          </w:tcPr>
          <w:p w:rsidR="0018153F" w:rsidRPr="0018153F" w:rsidRDefault="0018153F" w:rsidP="00C13FB4">
            <w:pPr>
              <w:jc w:val="center"/>
              <w:rPr>
                <w:b/>
                <w:sz w:val="24"/>
              </w:rPr>
            </w:pPr>
            <w:r w:rsidRPr="0018153F">
              <w:rPr>
                <w:b/>
                <w:sz w:val="24"/>
              </w:rPr>
              <w:t>Main Activity</w:t>
            </w:r>
          </w:p>
        </w:tc>
        <w:tc>
          <w:tcPr>
            <w:tcW w:w="3353" w:type="dxa"/>
            <w:vAlign w:val="center"/>
          </w:tcPr>
          <w:p w:rsidR="0018153F" w:rsidRPr="0018153F" w:rsidRDefault="0018153F" w:rsidP="00C13FB4">
            <w:pPr>
              <w:jc w:val="center"/>
              <w:rPr>
                <w:b/>
                <w:sz w:val="24"/>
              </w:rPr>
            </w:pPr>
            <w:r w:rsidRPr="0018153F">
              <w:rPr>
                <w:b/>
                <w:sz w:val="24"/>
              </w:rPr>
              <w:t>Expected Outcome</w:t>
            </w:r>
          </w:p>
        </w:tc>
        <w:tc>
          <w:tcPr>
            <w:tcW w:w="3359" w:type="dxa"/>
            <w:vAlign w:val="center"/>
          </w:tcPr>
          <w:p w:rsidR="0018153F" w:rsidRPr="0018153F" w:rsidRDefault="0018153F" w:rsidP="00C13FB4">
            <w:pPr>
              <w:jc w:val="center"/>
              <w:rPr>
                <w:b/>
                <w:sz w:val="24"/>
              </w:rPr>
            </w:pPr>
            <w:r w:rsidRPr="0018153F">
              <w:rPr>
                <w:b/>
                <w:sz w:val="24"/>
              </w:rPr>
              <w:t>Progress for September, 2020</w:t>
            </w:r>
          </w:p>
        </w:tc>
        <w:tc>
          <w:tcPr>
            <w:tcW w:w="3354" w:type="dxa"/>
            <w:vAlign w:val="center"/>
          </w:tcPr>
          <w:p w:rsidR="0018153F" w:rsidRPr="0018153F" w:rsidRDefault="0018153F" w:rsidP="00C13FB4">
            <w:pPr>
              <w:jc w:val="center"/>
              <w:rPr>
                <w:b/>
                <w:sz w:val="24"/>
              </w:rPr>
            </w:pPr>
            <w:r w:rsidRPr="0018153F">
              <w:rPr>
                <w:b/>
                <w:sz w:val="24"/>
              </w:rPr>
              <w:t>Way Forward for October, 2020</w:t>
            </w:r>
          </w:p>
        </w:tc>
      </w:tr>
      <w:tr w:rsidR="0018153F" w:rsidTr="00302146">
        <w:tc>
          <w:tcPr>
            <w:tcW w:w="558" w:type="dxa"/>
          </w:tcPr>
          <w:p w:rsidR="0018153F" w:rsidRPr="0018153F" w:rsidRDefault="0018153F" w:rsidP="0018153F">
            <w:pPr>
              <w:jc w:val="center"/>
              <w:rPr>
                <w:b/>
              </w:rPr>
            </w:pPr>
          </w:p>
        </w:tc>
        <w:tc>
          <w:tcPr>
            <w:tcW w:w="10065" w:type="dxa"/>
            <w:gridSpan w:val="3"/>
          </w:tcPr>
          <w:p w:rsidR="0018153F" w:rsidRPr="0018153F" w:rsidRDefault="0018153F" w:rsidP="0018153F">
            <w:pPr>
              <w:jc w:val="center"/>
              <w:rPr>
                <w:b/>
              </w:rPr>
            </w:pPr>
            <w:r w:rsidRPr="0018153F">
              <w:rPr>
                <w:b/>
              </w:rPr>
              <w:t>PRODUCT NAME:  DRY FRUITS</w:t>
            </w:r>
          </w:p>
        </w:tc>
        <w:tc>
          <w:tcPr>
            <w:tcW w:w="3354" w:type="dxa"/>
          </w:tcPr>
          <w:p w:rsidR="0018153F" w:rsidRPr="0018153F" w:rsidRDefault="0018153F" w:rsidP="0018153F">
            <w:pPr>
              <w:jc w:val="center"/>
              <w:rPr>
                <w:b/>
              </w:rPr>
            </w:pPr>
          </w:p>
        </w:tc>
      </w:tr>
      <w:tr w:rsidR="0018153F" w:rsidTr="00302146">
        <w:tc>
          <w:tcPr>
            <w:tcW w:w="558" w:type="dxa"/>
          </w:tcPr>
          <w:p w:rsidR="0018153F" w:rsidRDefault="00C13FB4" w:rsidP="0018153F">
            <w:r>
              <w:t>1.</w:t>
            </w:r>
          </w:p>
        </w:tc>
        <w:tc>
          <w:tcPr>
            <w:tcW w:w="3353" w:type="dxa"/>
          </w:tcPr>
          <w:p w:rsidR="0018153F" w:rsidRDefault="006C4524" w:rsidP="0018153F">
            <w:r>
              <w:t>Market Survey and meetings with dry fruits dealer of the area in connection with gett</w:t>
            </w:r>
            <w:r w:rsidR="00F75E09">
              <w:t>ing information of the product.</w:t>
            </w:r>
          </w:p>
        </w:tc>
        <w:tc>
          <w:tcPr>
            <w:tcW w:w="3353" w:type="dxa"/>
          </w:tcPr>
          <w:p w:rsidR="0018153F" w:rsidRDefault="00F75E09" w:rsidP="00887B00">
            <w:r>
              <w:t>Since only one dry fruit</w:t>
            </w:r>
            <w:r w:rsidR="00887B00">
              <w:t xml:space="preserve"> </w:t>
            </w:r>
            <w:r w:rsidR="00887B00" w:rsidRPr="00887B00">
              <w:t>Wall Nut</w:t>
            </w:r>
            <w:r w:rsidR="00887B00">
              <w:t xml:space="preserve"> is</w:t>
            </w:r>
            <w:r>
              <w:t xml:space="preserve"> grown</w:t>
            </w:r>
            <w:r w:rsidR="00887B00">
              <w:t xml:space="preserve"> in Swat,</w:t>
            </w:r>
            <w:r>
              <w:t xml:space="preserve"> which is hardly sufficient for local consumption. Other dry fruits are imported from Afghanistan and Iran. It was learnt during our meetings with the stakeholders that Swat is famous for its fresh fruits, however, individual growers are de-hydrating fresh fruits and vegetable in a very low quantity. If these growers are facilitated and de-hydration plants are installed then the export of de-hydrated fruits and vegetable can be possible.</w:t>
            </w:r>
          </w:p>
        </w:tc>
        <w:tc>
          <w:tcPr>
            <w:tcW w:w="3359" w:type="dxa"/>
          </w:tcPr>
          <w:p w:rsidR="0018153F" w:rsidRDefault="00FA2557" w:rsidP="0018153F">
            <w:r>
              <w:t xml:space="preserve">Before assigning dry fruit, </w:t>
            </w:r>
            <w:r w:rsidR="003D3604">
              <w:t>Our meetings with potential sectors other than dry fruits, were held in July &amp; August, 2020 wherein it was demanded by the business community that they have huge export potential in their respective sectors but they do not know how to export, therefore, TDAP, Swat proposed a series of seminars to be held on EXPORT PROCEDURE and some other to educate the potential traders but the same is still awaited.</w:t>
            </w:r>
          </w:p>
        </w:tc>
        <w:tc>
          <w:tcPr>
            <w:tcW w:w="3354" w:type="dxa"/>
          </w:tcPr>
          <w:p w:rsidR="0018153F" w:rsidRDefault="00374E16" w:rsidP="00D562F1">
            <w:pPr>
              <w:pStyle w:val="ListParagraph"/>
              <w:numPr>
                <w:ilvl w:val="0"/>
                <w:numId w:val="1"/>
              </w:numPr>
            </w:pPr>
            <w:r>
              <w:t>Visit to de-hydration plants of the individual growers along with inspection of two Fruits Grading Plants in Swat for any up gradation and facilitation for the purpose of initiation of export of dry fruits from the area.</w:t>
            </w:r>
          </w:p>
        </w:tc>
      </w:tr>
    </w:tbl>
    <w:p w:rsidR="0018153F" w:rsidRPr="0018153F" w:rsidRDefault="0018153F" w:rsidP="0018153F"/>
    <w:p w:rsidR="0018153F" w:rsidRDefault="0018153F" w:rsidP="0018153F">
      <w:pPr>
        <w:jc w:val="both"/>
        <w:rPr>
          <w:sz w:val="28"/>
        </w:rPr>
      </w:pPr>
    </w:p>
    <w:p w:rsidR="00B93B83" w:rsidRDefault="00B93B83" w:rsidP="0018153F">
      <w:pPr>
        <w:jc w:val="both"/>
        <w:rPr>
          <w:sz w:val="28"/>
        </w:rPr>
      </w:pPr>
    </w:p>
    <w:p w:rsidR="00B93B83" w:rsidRDefault="00BF01F0" w:rsidP="00D562F1">
      <w:pPr>
        <w:jc w:val="center"/>
        <w:rPr>
          <w:sz w:val="28"/>
        </w:rPr>
      </w:pPr>
      <w:r>
        <w:rPr>
          <w:noProof/>
        </w:rPr>
        <w:drawing>
          <wp:inline distT="0" distB="0" distL="0" distR="0" wp14:anchorId="19096E5E" wp14:editId="1D6D3925">
            <wp:extent cx="5365115" cy="1167765"/>
            <wp:effectExtent l="0" t="0" r="698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115" cy="1167765"/>
                    </a:xfrm>
                    <a:prstGeom prst="rect">
                      <a:avLst/>
                    </a:prstGeom>
                    <a:noFill/>
                    <a:ln>
                      <a:noFill/>
                    </a:ln>
                  </pic:spPr>
                </pic:pic>
              </a:graphicData>
            </a:graphic>
          </wp:inline>
        </w:drawing>
      </w:r>
      <w:bookmarkStart w:id="0" w:name="_GoBack"/>
      <w:bookmarkEnd w:id="0"/>
    </w:p>
    <w:p w:rsidR="00B93B83" w:rsidRDefault="00B93B83" w:rsidP="0018153F">
      <w:pPr>
        <w:jc w:val="both"/>
        <w:rPr>
          <w:sz w:val="28"/>
        </w:rPr>
      </w:pPr>
    </w:p>
    <w:tbl>
      <w:tblPr>
        <w:tblStyle w:val="TableGrid"/>
        <w:tblW w:w="0" w:type="auto"/>
        <w:tblInd w:w="985" w:type="dxa"/>
        <w:tblLook w:val="04A0" w:firstRow="1" w:lastRow="0" w:firstColumn="1" w:lastColumn="0" w:noHBand="0" w:noVBand="1"/>
      </w:tblPr>
      <w:tblGrid>
        <w:gridCol w:w="4191"/>
        <w:gridCol w:w="4192"/>
        <w:gridCol w:w="3065"/>
        <w:gridCol w:w="3150"/>
      </w:tblGrid>
      <w:tr w:rsidR="00B93B83" w:rsidTr="006F3FFF">
        <w:tc>
          <w:tcPr>
            <w:tcW w:w="4191" w:type="dxa"/>
          </w:tcPr>
          <w:p w:rsidR="00B93B83" w:rsidRPr="00B93B83" w:rsidRDefault="00B93B83" w:rsidP="00B93B83">
            <w:pPr>
              <w:jc w:val="both"/>
              <w:rPr>
                <w:b/>
                <w:sz w:val="28"/>
              </w:rPr>
            </w:pPr>
            <w:r>
              <w:rPr>
                <w:b/>
                <w:sz w:val="24"/>
              </w:rPr>
              <w:t>Carry Over Activities August</w:t>
            </w:r>
            <w:r w:rsidRPr="00B93B83">
              <w:rPr>
                <w:b/>
                <w:sz w:val="24"/>
              </w:rPr>
              <w:t>,20</w:t>
            </w:r>
            <w:r>
              <w:rPr>
                <w:b/>
                <w:sz w:val="24"/>
              </w:rPr>
              <w:t>20</w:t>
            </w:r>
          </w:p>
        </w:tc>
        <w:tc>
          <w:tcPr>
            <w:tcW w:w="4192" w:type="dxa"/>
          </w:tcPr>
          <w:p w:rsidR="00B93B83" w:rsidRPr="00C13FB4" w:rsidRDefault="00B93B83" w:rsidP="0018153F">
            <w:pPr>
              <w:jc w:val="both"/>
              <w:rPr>
                <w:b/>
                <w:sz w:val="24"/>
              </w:rPr>
            </w:pPr>
            <w:r w:rsidRPr="00C13FB4">
              <w:rPr>
                <w:b/>
                <w:sz w:val="24"/>
              </w:rPr>
              <w:t>Reason for Non-Execution</w:t>
            </w:r>
          </w:p>
        </w:tc>
        <w:tc>
          <w:tcPr>
            <w:tcW w:w="3065" w:type="dxa"/>
          </w:tcPr>
          <w:p w:rsidR="00B93B83" w:rsidRPr="00C13FB4" w:rsidRDefault="00B93B83" w:rsidP="0018153F">
            <w:pPr>
              <w:jc w:val="both"/>
              <w:rPr>
                <w:b/>
                <w:sz w:val="24"/>
              </w:rPr>
            </w:pPr>
            <w:r w:rsidRPr="00C13FB4">
              <w:rPr>
                <w:b/>
                <w:sz w:val="24"/>
              </w:rPr>
              <w:t>Progress September, 2020</w:t>
            </w:r>
          </w:p>
        </w:tc>
        <w:tc>
          <w:tcPr>
            <w:tcW w:w="3150" w:type="dxa"/>
          </w:tcPr>
          <w:p w:rsidR="00B93B83" w:rsidRPr="00C13FB4" w:rsidRDefault="00B93B83" w:rsidP="0018153F">
            <w:pPr>
              <w:jc w:val="both"/>
              <w:rPr>
                <w:b/>
                <w:sz w:val="24"/>
              </w:rPr>
            </w:pPr>
            <w:r w:rsidRPr="00C13FB4">
              <w:rPr>
                <w:b/>
                <w:sz w:val="24"/>
              </w:rPr>
              <w:t>Way Forward October, 2020</w:t>
            </w:r>
          </w:p>
        </w:tc>
      </w:tr>
      <w:tr w:rsidR="00B93B83" w:rsidTr="006F3FFF">
        <w:tc>
          <w:tcPr>
            <w:tcW w:w="4191" w:type="dxa"/>
          </w:tcPr>
          <w:p w:rsidR="00B93B83" w:rsidRDefault="00D562F1" w:rsidP="0018153F">
            <w:pPr>
              <w:jc w:val="both"/>
              <w:rPr>
                <w:sz w:val="28"/>
              </w:rPr>
            </w:pPr>
            <w:r w:rsidRPr="00D562F1">
              <w:rPr>
                <w:sz w:val="24"/>
              </w:rPr>
              <w:t>Arrangements of Seminars, Webinars and Workshops</w:t>
            </w:r>
            <w:r>
              <w:rPr>
                <w:sz w:val="24"/>
              </w:rPr>
              <w:t>.</w:t>
            </w:r>
          </w:p>
        </w:tc>
        <w:tc>
          <w:tcPr>
            <w:tcW w:w="4192" w:type="dxa"/>
          </w:tcPr>
          <w:p w:rsidR="00B93B83" w:rsidRPr="00D562F1" w:rsidRDefault="00D562F1" w:rsidP="00D562F1">
            <w:pPr>
              <w:pStyle w:val="ListParagraph"/>
              <w:numPr>
                <w:ilvl w:val="0"/>
                <w:numId w:val="1"/>
              </w:numPr>
              <w:jc w:val="both"/>
              <w:rPr>
                <w:sz w:val="28"/>
              </w:rPr>
            </w:pPr>
            <w:r w:rsidRPr="00D562F1">
              <w:rPr>
                <w:sz w:val="24"/>
              </w:rPr>
              <w:t>Not approved by the competent authority so far.</w:t>
            </w:r>
          </w:p>
        </w:tc>
        <w:tc>
          <w:tcPr>
            <w:tcW w:w="3065" w:type="dxa"/>
          </w:tcPr>
          <w:p w:rsidR="00B93B83" w:rsidRDefault="00D562F1" w:rsidP="0018153F">
            <w:pPr>
              <w:jc w:val="both"/>
              <w:rPr>
                <w:sz w:val="28"/>
              </w:rPr>
            </w:pPr>
            <w:r>
              <w:rPr>
                <w:sz w:val="28"/>
              </w:rPr>
              <w:t>NIL</w:t>
            </w:r>
          </w:p>
        </w:tc>
        <w:tc>
          <w:tcPr>
            <w:tcW w:w="3150" w:type="dxa"/>
          </w:tcPr>
          <w:p w:rsidR="00B93B83" w:rsidRDefault="00D562F1" w:rsidP="0018153F">
            <w:pPr>
              <w:jc w:val="both"/>
              <w:rPr>
                <w:sz w:val="28"/>
              </w:rPr>
            </w:pPr>
            <w:r>
              <w:rPr>
                <w:sz w:val="28"/>
              </w:rPr>
              <w:t>NIL</w:t>
            </w:r>
          </w:p>
        </w:tc>
      </w:tr>
      <w:tr w:rsidR="00B93B83" w:rsidTr="006F3FFF">
        <w:tc>
          <w:tcPr>
            <w:tcW w:w="4191" w:type="dxa"/>
          </w:tcPr>
          <w:p w:rsidR="00B93B83" w:rsidRDefault="00B93B83" w:rsidP="0018153F">
            <w:pPr>
              <w:jc w:val="both"/>
              <w:rPr>
                <w:sz w:val="28"/>
              </w:rPr>
            </w:pPr>
          </w:p>
        </w:tc>
        <w:tc>
          <w:tcPr>
            <w:tcW w:w="4192" w:type="dxa"/>
          </w:tcPr>
          <w:p w:rsidR="00B93B83" w:rsidRDefault="00B93B83" w:rsidP="0018153F">
            <w:pPr>
              <w:jc w:val="both"/>
              <w:rPr>
                <w:sz w:val="28"/>
              </w:rPr>
            </w:pPr>
          </w:p>
        </w:tc>
        <w:tc>
          <w:tcPr>
            <w:tcW w:w="3065" w:type="dxa"/>
          </w:tcPr>
          <w:p w:rsidR="00B93B83" w:rsidRDefault="00B93B83" w:rsidP="0018153F">
            <w:pPr>
              <w:jc w:val="both"/>
              <w:rPr>
                <w:sz w:val="28"/>
              </w:rPr>
            </w:pPr>
          </w:p>
        </w:tc>
        <w:tc>
          <w:tcPr>
            <w:tcW w:w="3150" w:type="dxa"/>
          </w:tcPr>
          <w:p w:rsidR="00B93B83" w:rsidRDefault="00B93B83" w:rsidP="0018153F">
            <w:pPr>
              <w:jc w:val="both"/>
              <w:rPr>
                <w:sz w:val="28"/>
              </w:rPr>
            </w:pPr>
          </w:p>
        </w:tc>
      </w:tr>
    </w:tbl>
    <w:p w:rsidR="00B93B83" w:rsidRDefault="00B93B83" w:rsidP="0018153F">
      <w:pPr>
        <w:jc w:val="both"/>
        <w:rPr>
          <w:sz w:val="28"/>
        </w:rPr>
      </w:pPr>
    </w:p>
    <w:p w:rsidR="00D4309E" w:rsidRPr="009C1BA2" w:rsidRDefault="00D4309E" w:rsidP="006F3FFF">
      <w:pPr>
        <w:ind w:left="720"/>
        <w:jc w:val="both"/>
        <w:rPr>
          <w:sz w:val="24"/>
        </w:rPr>
      </w:pPr>
      <w:r w:rsidRPr="009C1BA2">
        <w:rPr>
          <w:sz w:val="24"/>
        </w:rPr>
        <w:t>Officer’s take away for September, 2020:</w:t>
      </w:r>
      <w:r w:rsidR="00D562F1" w:rsidRPr="009C1BA2">
        <w:rPr>
          <w:sz w:val="24"/>
        </w:rPr>
        <w:t xml:space="preserve"> </w:t>
      </w:r>
      <w:r w:rsidR="009C1BA2">
        <w:rPr>
          <w:sz w:val="24"/>
        </w:rPr>
        <w:t>D</w:t>
      </w:r>
      <w:r w:rsidR="00D562F1" w:rsidRPr="009C1BA2">
        <w:rPr>
          <w:sz w:val="24"/>
        </w:rPr>
        <w:t>ue to non-availability of dry fruits, no exporter is available in Swat. There is a number of farmers and growers who, individually, de-hydrating fruits and vegetables. In order to initiate / increase the export of dry fruits the basic infrastructur</w:t>
      </w:r>
      <w:r w:rsidR="009C1BA2" w:rsidRPr="009C1BA2">
        <w:rPr>
          <w:sz w:val="24"/>
        </w:rPr>
        <w:t>e is required to be established and growers are facilitated.</w:t>
      </w:r>
    </w:p>
    <w:p w:rsidR="00B93B83" w:rsidRDefault="00B93B83" w:rsidP="0018153F">
      <w:pPr>
        <w:jc w:val="both"/>
        <w:rPr>
          <w:sz w:val="28"/>
        </w:rPr>
      </w:pPr>
    </w:p>
    <w:p w:rsidR="00B93B83" w:rsidRDefault="00B93B83" w:rsidP="0018153F">
      <w:pPr>
        <w:jc w:val="both"/>
        <w:rPr>
          <w:sz w:val="28"/>
        </w:rPr>
      </w:pPr>
    </w:p>
    <w:p w:rsidR="00B93B83" w:rsidRPr="00AF5142" w:rsidRDefault="005B423F" w:rsidP="0018153F">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proofErr w:type="spellStart"/>
      <w:proofErr w:type="gramStart"/>
      <w:r w:rsidR="00574B2A">
        <w:rPr>
          <w:sz w:val="28"/>
        </w:rPr>
        <w:t>Sd</w:t>
      </w:r>
      <w:proofErr w:type="spellEnd"/>
      <w:proofErr w:type="gramEnd"/>
      <w:r w:rsidR="00574B2A">
        <w:rPr>
          <w:sz w:val="28"/>
        </w:rPr>
        <w:t>/-</w:t>
      </w:r>
    </w:p>
    <w:p w:rsidR="00C46EDA" w:rsidRDefault="006F3FFF" w:rsidP="006F3FFF">
      <w:pPr>
        <w:spacing w:after="0" w:line="240" w:lineRule="auto"/>
        <w:ind w:left="11520"/>
      </w:pPr>
      <w:r>
        <w:t>(</w:t>
      </w:r>
      <w:proofErr w:type="spellStart"/>
      <w:r>
        <w:t>Noman</w:t>
      </w:r>
      <w:proofErr w:type="spellEnd"/>
      <w:r>
        <w:t xml:space="preserve"> Bashir)</w:t>
      </w:r>
    </w:p>
    <w:p w:rsidR="006F3FFF" w:rsidRDefault="006F3FFF" w:rsidP="006F3FFF">
      <w:pPr>
        <w:spacing w:after="0" w:line="240" w:lineRule="auto"/>
        <w:ind w:left="11520"/>
      </w:pPr>
      <w:r>
        <w:t>Deputy Director</w:t>
      </w:r>
    </w:p>
    <w:p w:rsidR="006F3FFF" w:rsidRDefault="006F3FFF" w:rsidP="006F3FFF">
      <w:pPr>
        <w:spacing w:after="0" w:line="240" w:lineRule="auto"/>
        <w:ind w:left="11520"/>
      </w:pPr>
      <w:r>
        <w:t>TDAP, SRO, Swat</w:t>
      </w:r>
    </w:p>
    <w:sectPr w:rsidR="006F3FFF" w:rsidSect="006F3FFF">
      <w:pgSz w:w="16839" w:h="11907" w:orient="landscape" w:code="9"/>
      <w:pgMar w:top="144" w:right="729" w:bottom="288"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251A7"/>
    <w:multiLevelType w:val="hybridMultilevel"/>
    <w:tmpl w:val="7D4E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3F"/>
    <w:rsid w:val="0018153F"/>
    <w:rsid w:val="00302146"/>
    <w:rsid w:val="00310799"/>
    <w:rsid w:val="00374E16"/>
    <w:rsid w:val="003D3604"/>
    <w:rsid w:val="004B79BA"/>
    <w:rsid w:val="0053301F"/>
    <w:rsid w:val="0054268D"/>
    <w:rsid w:val="00574B2A"/>
    <w:rsid w:val="005B423F"/>
    <w:rsid w:val="006C4524"/>
    <w:rsid w:val="006F3005"/>
    <w:rsid w:val="006F3FFF"/>
    <w:rsid w:val="00887B00"/>
    <w:rsid w:val="009A71C1"/>
    <w:rsid w:val="009C0E50"/>
    <w:rsid w:val="009C1BA2"/>
    <w:rsid w:val="00A067B4"/>
    <w:rsid w:val="00B93B83"/>
    <w:rsid w:val="00BA3C24"/>
    <w:rsid w:val="00BF01F0"/>
    <w:rsid w:val="00C13FB4"/>
    <w:rsid w:val="00C46EDA"/>
    <w:rsid w:val="00C849CB"/>
    <w:rsid w:val="00CE65F7"/>
    <w:rsid w:val="00D4309E"/>
    <w:rsid w:val="00D562F1"/>
    <w:rsid w:val="00F141F5"/>
    <w:rsid w:val="00F75E09"/>
    <w:rsid w:val="00FA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3F"/>
    <w:rPr>
      <w:rFonts w:ascii="Tahoma" w:hAnsi="Tahoma" w:cs="Tahoma"/>
      <w:sz w:val="16"/>
      <w:szCs w:val="16"/>
    </w:rPr>
  </w:style>
  <w:style w:type="table" w:styleId="TableGrid">
    <w:name w:val="Table Grid"/>
    <w:basedOn w:val="TableNormal"/>
    <w:uiPriority w:val="59"/>
    <w:rsid w:val="00181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6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53F"/>
    <w:rPr>
      <w:rFonts w:ascii="Tahoma" w:hAnsi="Tahoma" w:cs="Tahoma"/>
      <w:sz w:val="16"/>
      <w:szCs w:val="16"/>
    </w:rPr>
  </w:style>
  <w:style w:type="table" w:styleId="TableGrid">
    <w:name w:val="Table Grid"/>
    <w:basedOn w:val="TableNormal"/>
    <w:uiPriority w:val="59"/>
    <w:rsid w:val="00181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6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Fazal Wadood</dc:creator>
  <cp:keywords/>
  <dc:description/>
  <cp:lastModifiedBy>Fazal Wadood</cp:lastModifiedBy>
  <cp:revision>6</cp:revision>
  <cp:lastPrinted>2020-09-30T07:32:00Z</cp:lastPrinted>
  <dcterms:created xsi:type="dcterms:W3CDTF">2020-09-29T05:54:00Z</dcterms:created>
  <dcterms:modified xsi:type="dcterms:W3CDTF">2020-10-02T10:10:00Z</dcterms:modified>
</cp:coreProperties>
</file>