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19D" w:rsidRPr="00A408FE" w:rsidRDefault="0099611F" w:rsidP="00A408FE">
      <w:pPr>
        <w:ind w:firstLine="720"/>
        <w:rPr>
          <w:rFonts w:ascii="Book Antiqua" w:hAnsi="Book Antiqua" w:cs="Times New Roman"/>
          <w:b/>
          <w:sz w:val="24"/>
          <w:szCs w:val="24"/>
          <w:u w:val="single"/>
        </w:rPr>
      </w:pPr>
      <w:r w:rsidRPr="00A408FE">
        <w:rPr>
          <w:rFonts w:ascii="Book Antiqua" w:hAnsi="Book Antiqua" w:cs="Times New Roman"/>
          <w:b/>
          <w:sz w:val="24"/>
          <w:szCs w:val="24"/>
          <w:u w:val="single"/>
        </w:rPr>
        <w:t>Auction Notice</w:t>
      </w:r>
    </w:p>
    <w:p w:rsidR="00C7219D" w:rsidRPr="00A408FE" w:rsidRDefault="00C7219D" w:rsidP="00A408FE">
      <w:pPr>
        <w:jc w:val="both"/>
        <w:rPr>
          <w:rFonts w:ascii="Book Antiqua" w:hAnsi="Book Antiqua" w:cs="Times New Roman"/>
          <w:sz w:val="24"/>
          <w:szCs w:val="24"/>
        </w:rPr>
      </w:pPr>
    </w:p>
    <w:p w:rsidR="00C7219D" w:rsidRPr="00A408FE" w:rsidRDefault="00810ACE" w:rsidP="00A408FE">
      <w:pPr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Trade Development Authority of Pakistan (TDAP)</w:t>
      </w:r>
      <w:r w:rsidR="00737F27">
        <w:rPr>
          <w:rFonts w:ascii="Book Antiqua" w:hAnsi="Book Antiqua" w:cs="Times New Roman"/>
        </w:rPr>
        <w:t>, Lahore</w:t>
      </w:r>
      <w:r>
        <w:rPr>
          <w:rFonts w:ascii="Book Antiqua" w:hAnsi="Book Antiqua" w:cs="Times New Roman"/>
        </w:rPr>
        <w:t xml:space="preserve"> intends to auction its obsolete/scrap/unserviceable miscellaneous items</w:t>
      </w:r>
      <w:r w:rsidR="0099611F" w:rsidRPr="00A408FE">
        <w:rPr>
          <w:rFonts w:ascii="Book Antiqua" w:hAnsi="Book Antiqua" w:cs="Times New Roman"/>
        </w:rPr>
        <w:t xml:space="preserve"> in </w:t>
      </w:r>
      <w:r w:rsidR="00132B19">
        <w:rPr>
          <w:rFonts w:ascii="Book Antiqua" w:hAnsi="Book Antiqua" w:cs="Times New Roman"/>
        </w:rPr>
        <w:t xml:space="preserve">an open </w:t>
      </w:r>
      <w:r w:rsidR="0099611F" w:rsidRPr="00A408FE">
        <w:rPr>
          <w:rFonts w:ascii="Book Antiqua" w:hAnsi="Book Antiqua" w:cs="Times New Roman"/>
        </w:rPr>
        <w:t>auction</w:t>
      </w:r>
      <w:r w:rsidR="00132B19">
        <w:rPr>
          <w:rFonts w:ascii="Book Antiqua" w:hAnsi="Book Antiqua" w:cs="Times New Roman"/>
        </w:rPr>
        <w:t xml:space="preserve"> </w:t>
      </w:r>
      <w:r>
        <w:rPr>
          <w:rFonts w:ascii="Book Antiqua" w:hAnsi="Book Antiqua" w:cs="Times New Roman"/>
        </w:rPr>
        <w:t>at 11</w:t>
      </w:r>
      <w:r w:rsidR="00737F27">
        <w:rPr>
          <w:rFonts w:ascii="Book Antiqua" w:hAnsi="Book Antiqua" w:cs="Times New Roman"/>
        </w:rPr>
        <w:t>:30</w:t>
      </w:r>
      <w:r>
        <w:rPr>
          <w:rFonts w:ascii="Book Antiqua" w:hAnsi="Book Antiqua" w:cs="Times New Roman"/>
        </w:rPr>
        <w:t xml:space="preserve"> am </w:t>
      </w:r>
      <w:r w:rsidR="00132B19">
        <w:rPr>
          <w:rFonts w:ascii="Book Antiqua" w:hAnsi="Book Antiqua" w:cs="Times New Roman"/>
        </w:rPr>
        <w:t>on</w:t>
      </w:r>
      <w:r>
        <w:rPr>
          <w:rFonts w:ascii="Book Antiqua" w:hAnsi="Book Antiqua" w:cs="Times New Roman"/>
        </w:rPr>
        <w:t xml:space="preserve"> 23</w:t>
      </w:r>
      <w:r w:rsidRPr="00810ACE">
        <w:rPr>
          <w:rFonts w:ascii="Book Antiqua" w:hAnsi="Book Antiqua" w:cs="Times New Roman"/>
          <w:vertAlign w:val="superscript"/>
        </w:rPr>
        <w:t>rd</w:t>
      </w:r>
      <w:r>
        <w:rPr>
          <w:rFonts w:ascii="Book Antiqua" w:hAnsi="Book Antiqua" w:cs="Times New Roman"/>
        </w:rPr>
        <w:t xml:space="preserve"> May, 2023</w:t>
      </w:r>
      <w:r w:rsidR="00063284">
        <w:rPr>
          <w:rFonts w:ascii="Book Antiqua" w:hAnsi="Book Antiqua" w:cs="Times New Roman"/>
        </w:rPr>
        <w:t xml:space="preserve"> (Tuesday</w:t>
      </w:r>
      <w:r w:rsidR="0070536D">
        <w:rPr>
          <w:rFonts w:ascii="Book Antiqua" w:hAnsi="Book Antiqua" w:cs="Times New Roman"/>
        </w:rPr>
        <w:t>)</w:t>
      </w:r>
      <w:r w:rsidR="00063284">
        <w:rPr>
          <w:rFonts w:ascii="Book Antiqua" w:hAnsi="Book Antiqua" w:cs="Times New Roman"/>
        </w:rPr>
        <w:t xml:space="preserve"> at</w:t>
      </w:r>
      <w:r w:rsidR="00737F27">
        <w:rPr>
          <w:rFonts w:ascii="Book Antiqua" w:hAnsi="Book Antiqua" w:cs="Times New Roman"/>
        </w:rPr>
        <w:t xml:space="preserve"> its</w:t>
      </w:r>
      <w:r>
        <w:rPr>
          <w:rFonts w:ascii="Book Antiqua" w:hAnsi="Book Antiqua" w:cs="Times New Roman"/>
        </w:rPr>
        <w:t xml:space="preserve"> office located at 62-A Garden Block, Garden Town, Lahore</w:t>
      </w:r>
      <w:r w:rsidR="00063284">
        <w:rPr>
          <w:rFonts w:ascii="Book Antiqua" w:hAnsi="Book Antiqua" w:cs="Times New Roman"/>
        </w:rPr>
        <w:t>.</w:t>
      </w:r>
      <w:r w:rsidR="0003338E">
        <w:rPr>
          <w:rFonts w:ascii="Book Antiqua" w:hAnsi="Book Antiqua" w:cs="Times New Roman"/>
        </w:rPr>
        <w:t xml:space="preserve"> </w:t>
      </w:r>
      <w:r>
        <w:rPr>
          <w:rFonts w:ascii="Book Antiqua" w:hAnsi="Book Antiqua" w:cs="Times New Roman"/>
        </w:rPr>
        <w:t>The list of items is as below;</w:t>
      </w:r>
    </w:p>
    <w:tbl>
      <w:tblPr>
        <w:tblStyle w:val="TableGrid"/>
        <w:tblW w:w="0" w:type="auto"/>
        <w:tblInd w:w="1561" w:type="dxa"/>
        <w:tblLook w:val="04A0" w:firstRow="1" w:lastRow="0" w:firstColumn="1" w:lastColumn="0" w:noHBand="0" w:noVBand="1"/>
      </w:tblPr>
      <w:tblGrid>
        <w:gridCol w:w="818"/>
        <w:gridCol w:w="5536"/>
      </w:tblGrid>
      <w:tr w:rsidR="00A408FE" w:rsidRPr="00A408FE" w:rsidTr="00063284">
        <w:tc>
          <w:tcPr>
            <w:tcW w:w="818" w:type="dxa"/>
          </w:tcPr>
          <w:p w:rsidR="00A408FE" w:rsidRPr="00A408FE" w:rsidRDefault="00A408FE" w:rsidP="00A408FE">
            <w:pPr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A408FE">
              <w:rPr>
                <w:rFonts w:ascii="Book Antiqua" w:hAnsi="Book Antiqua" w:cs="Times New Roman"/>
                <w:b/>
                <w:sz w:val="24"/>
                <w:szCs w:val="24"/>
              </w:rPr>
              <w:t>Sr#</w:t>
            </w:r>
          </w:p>
        </w:tc>
        <w:tc>
          <w:tcPr>
            <w:tcW w:w="5536" w:type="dxa"/>
          </w:tcPr>
          <w:p w:rsidR="00A408FE" w:rsidRPr="00A408FE" w:rsidRDefault="00A408FE" w:rsidP="00A408FE">
            <w:pPr>
              <w:jc w:val="both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A408FE">
              <w:rPr>
                <w:rFonts w:ascii="Book Antiqua" w:hAnsi="Book Antiqua" w:cs="Times New Roman"/>
                <w:b/>
                <w:sz w:val="24"/>
                <w:szCs w:val="24"/>
              </w:rPr>
              <w:t>Description</w:t>
            </w:r>
          </w:p>
        </w:tc>
      </w:tr>
      <w:tr w:rsidR="00A408FE" w:rsidRPr="00A408FE" w:rsidTr="00063284">
        <w:tc>
          <w:tcPr>
            <w:tcW w:w="818" w:type="dxa"/>
          </w:tcPr>
          <w:p w:rsidR="00A408FE" w:rsidRPr="00A408FE" w:rsidRDefault="00A408FE" w:rsidP="00A408FE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A408FE">
              <w:rPr>
                <w:rFonts w:ascii="Book Antiqua" w:hAnsi="Book Antiqua" w:cs="Times New Roman"/>
                <w:sz w:val="24"/>
                <w:szCs w:val="24"/>
              </w:rPr>
              <w:t>1</w:t>
            </w:r>
          </w:p>
        </w:tc>
        <w:tc>
          <w:tcPr>
            <w:tcW w:w="5536" w:type="dxa"/>
          </w:tcPr>
          <w:p w:rsidR="00A408FE" w:rsidRPr="00A408FE" w:rsidRDefault="00132B19" w:rsidP="00A408FE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Steel / Iron Items (C</w:t>
            </w:r>
            <w:r w:rsidR="00A408FE" w:rsidRPr="00A408FE">
              <w:rPr>
                <w:rFonts w:ascii="Book Antiqua" w:hAnsi="Book Antiqua" w:cs="Times New Roman"/>
                <w:sz w:val="24"/>
                <w:szCs w:val="24"/>
              </w:rPr>
              <w:t>abinets, Fans, Gas Heaters</w:t>
            </w:r>
            <w:r w:rsidR="00063284">
              <w:rPr>
                <w:rFonts w:ascii="Book Antiqua" w:hAnsi="Book Antiqua" w:cs="Times New Roman"/>
                <w:sz w:val="24"/>
                <w:szCs w:val="24"/>
              </w:rPr>
              <w:t xml:space="preserve"> etc</w:t>
            </w:r>
            <w:r w:rsidR="00A408FE" w:rsidRPr="00A408FE">
              <w:rPr>
                <w:rFonts w:ascii="Book Antiqua" w:hAnsi="Book Antiqua" w:cs="Times New Roman"/>
                <w:sz w:val="24"/>
                <w:szCs w:val="24"/>
              </w:rPr>
              <w:t>)</w:t>
            </w:r>
          </w:p>
        </w:tc>
      </w:tr>
      <w:tr w:rsidR="00A408FE" w:rsidRPr="00A408FE" w:rsidTr="00063284">
        <w:tc>
          <w:tcPr>
            <w:tcW w:w="818" w:type="dxa"/>
          </w:tcPr>
          <w:p w:rsidR="00A408FE" w:rsidRPr="00A408FE" w:rsidRDefault="00A408FE" w:rsidP="00A408FE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A408FE">
              <w:rPr>
                <w:rFonts w:ascii="Book Antiqua" w:hAnsi="Book Antiqua" w:cs="Times New Roman"/>
                <w:sz w:val="24"/>
                <w:szCs w:val="24"/>
              </w:rPr>
              <w:t>2</w:t>
            </w:r>
          </w:p>
        </w:tc>
        <w:tc>
          <w:tcPr>
            <w:tcW w:w="5536" w:type="dxa"/>
          </w:tcPr>
          <w:p w:rsidR="00A408FE" w:rsidRPr="00A408FE" w:rsidRDefault="00A408FE" w:rsidP="00A408FE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A408FE">
              <w:rPr>
                <w:rFonts w:ascii="Book Antiqua" w:hAnsi="Book Antiqua" w:cs="Times New Roman"/>
                <w:sz w:val="24"/>
                <w:szCs w:val="24"/>
              </w:rPr>
              <w:t>Generator (100 KVA) and Vespa Scooter</w:t>
            </w:r>
          </w:p>
        </w:tc>
      </w:tr>
      <w:tr w:rsidR="00A408FE" w:rsidRPr="00A408FE" w:rsidTr="00063284">
        <w:tc>
          <w:tcPr>
            <w:tcW w:w="818" w:type="dxa"/>
          </w:tcPr>
          <w:p w:rsidR="00A408FE" w:rsidRPr="00A408FE" w:rsidRDefault="00A408FE" w:rsidP="00A408FE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A408FE">
              <w:rPr>
                <w:rFonts w:ascii="Book Antiqua" w:hAnsi="Book Antiqua" w:cs="Times New Roman"/>
                <w:sz w:val="24"/>
                <w:szCs w:val="24"/>
              </w:rPr>
              <w:t>3</w:t>
            </w:r>
          </w:p>
        </w:tc>
        <w:tc>
          <w:tcPr>
            <w:tcW w:w="5536" w:type="dxa"/>
          </w:tcPr>
          <w:p w:rsidR="00A408FE" w:rsidRPr="00A408FE" w:rsidRDefault="00A408FE" w:rsidP="00A408FE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A408FE">
              <w:rPr>
                <w:rFonts w:ascii="Book Antiqua" w:hAnsi="Book Antiqua" w:cs="Times New Roman"/>
                <w:sz w:val="24"/>
                <w:szCs w:val="24"/>
              </w:rPr>
              <w:t>Wooden Furniture</w:t>
            </w:r>
          </w:p>
        </w:tc>
      </w:tr>
      <w:tr w:rsidR="00A408FE" w:rsidRPr="00A408FE" w:rsidTr="00063284">
        <w:tc>
          <w:tcPr>
            <w:tcW w:w="818" w:type="dxa"/>
          </w:tcPr>
          <w:p w:rsidR="00A408FE" w:rsidRPr="00A408FE" w:rsidRDefault="00A408FE" w:rsidP="00A408FE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A408FE">
              <w:rPr>
                <w:rFonts w:ascii="Book Antiqua" w:hAnsi="Book Antiqua" w:cs="Times New Roman"/>
                <w:sz w:val="24"/>
                <w:szCs w:val="24"/>
              </w:rPr>
              <w:t>4</w:t>
            </w:r>
          </w:p>
        </w:tc>
        <w:tc>
          <w:tcPr>
            <w:tcW w:w="5536" w:type="dxa"/>
          </w:tcPr>
          <w:p w:rsidR="00A408FE" w:rsidRPr="00A408FE" w:rsidRDefault="00A408FE" w:rsidP="00A408FE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A408FE">
              <w:rPr>
                <w:rFonts w:ascii="Book Antiqua" w:hAnsi="Book Antiqua" w:cs="Times New Roman"/>
                <w:sz w:val="24"/>
                <w:szCs w:val="24"/>
              </w:rPr>
              <w:t>Scrap Paper</w:t>
            </w:r>
          </w:p>
        </w:tc>
      </w:tr>
      <w:tr w:rsidR="00A408FE" w:rsidRPr="00A408FE" w:rsidTr="00063284">
        <w:tc>
          <w:tcPr>
            <w:tcW w:w="818" w:type="dxa"/>
          </w:tcPr>
          <w:p w:rsidR="00A408FE" w:rsidRPr="00A408FE" w:rsidRDefault="00A408FE" w:rsidP="00A408FE">
            <w:pPr>
              <w:rPr>
                <w:rFonts w:ascii="Book Antiqua" w:hAnsi="Book Antiqua" w:cs="Times New Roman"/>
                <w:sz w:val="24"/>
                <w:szCs w:val="24"/>
              </w:rPr>
            </w:pPr>
            <w:r w:rsidRPr="00A408FE">
              <w:rPr>
                <w:rFonts w:ascii="Book Antiqua" w:hAnsi="Book Antiqua" w:cs="Times New Roman"/>
                <w:sz w:val="24"/>
                <w:szCs w:val="24"/>
              </w:rPr>
              <w:t>5</w:t>
            </w:r>
          </w:p>
        </w:tc>
        <w:tc>
          <w:tcPr>
            <w:tcW w:w="5536" w:type="dxa"/>
          </w:tcPr>
          <w:p w:rsidR="00A408FE" w:rsidRPr="00A408FE" w:rsidRDefault="00132B19" w:rsidP="00A408FE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IT</w:t>
            </w:r>
            <w:r w:rsidR="00A408FE" w:rsidRPr="00A408FE">
              <w:rPr>
                <w:rFonts w:ascii="Book Antiqua" w:hAnsi="Book Antiqua" w:cs="Times New Roman"/>
                <w:sz w:val="24"/>
                <w:szCs w:val="24"/>
              </w:rPr>
              <w:t xml:space="preserve"> Equipment (Fax Machine, Typewriters, Cheque Writer etc)</w:t>
            </w:r>
          </w:p>
        </w:tc>
      </w:tr>
    </w:tbl>
    <w:p w:rsidR="00A408FE" w:rsidRDefault="00A408FE" w:rsidP="00A408FE">
      <w:pPr>
        <w:jc w:val="both"/>
        <w:rPr>
          <w:rFonts w:ascii="Book Antiqua" w:hAnsi="Book Antiqua" w:cs="Times New Roman"/>
        </w:rPr>
      </w:pPr>
    </w:p>
    <w:p w:rsidR="00C7219D" w:rsidRPr="00A408FE" w:rsidRDefault="00063284" w:rsidP="00A408FE">
      <w:pPr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Auct</w:t>
      </w:r>
      <w:r w:rsidR="00737F27">
        <w:rPr>
          <w:rFonts w:ascii="Book Antiqua" w:hAnsi="Book Antiqua" w:cs="Times New Roman"/>
        </w:rPr>
        <w:t xml:space="preserve">ion shall be carried out on “as </w:t>
      </w:r>
      <w:r>
        <w:rPr>
          <w:rFonts w:ascii="Book Antiqua" w:hAnsi="Book Antiqua" w:cs="Times New Roman"/>
        </w:rPr>
        <w:t>are and where are” and whole-stock/full package basis. Auction Items are lying at TDAP</w:t>
      </w:r>
      <w:r w:rsidR="0099611F" w:rsidRPr="00A408FE">
        <w:rPr>
          <w:rFonts w:ascii="Book Antiqua" w:hAnsi="Book Antiqua" w:cs="Times New Roman"/>
        </w:rPr>
        <w:t xml:space="preserve"> </w:t>
      </w:r>
      <w:r w:rsidR="00F202AB">
        <w:rPr>
          <w:rFonts w:ascii="Book Antiqua" w:hAnsi="Book Antiqua" w:cs="Times New Roman"/>
        </w:rPr>
        <w:t xml:space="preserve">Lahore </w:t>
      </w:r>
      <w:r w:rsidR="0099611F" w:rsidRPr="00A408FE">
        <w:rPr>
          <w:rFonts w:ascii="Book Antiqua" w:hAnsi="Book Antiqua" w:cs="Times New Roman"/>
        </w:rPr>
        <w:t xml:space="preserve">office </w:t>
      </w:r>
      <w:r>
        <w:rPr>
          <w:rFonts w:ascii="Book Antiqua" w:hAnsi="Book Antiqua" w:cs="Times New Roman"/>
        </w:rPr>
        <w:t xml:space="preserve">that </w:t>
      </w:r>
      <w:r w:rsidR="0099611F" w:rsidRPr="00A408FE">
        <w:rPr>
          <w:rFonts w:ascii="Book Antiqua" w:hAnsi="Book Antiqua" w:cs="Times New Roman"/>
        </w:rPr>
        <w:t>can be ins</w:t>
      </w:r>
      <w:r w:rsidR="0070536D">
        <w:rPr>
          <w:rFonts w:ascii="Book Antiqua" w:hAnsi="Book Antiqua" w:cs="Times New Roman"/>
        </w:rPr>
        <w:t>pected by the interested individuals/firms/companies registered with relevant Tax Authorities</w:t>
      </w:r>
      <w:r w:rsidR="0099611F" w:rsidRPr="00A408FE">
        <w:rPr>
          <w:rFonts w:ascii="Book Antiqua" w:hAnsi="Book Antiqua" w:cs="Times New Roman"/>
        </w:rPr>
        <w:t xml:space="preserve"> during office hours</w:t>
      </w:r>
      <w:r w:rsidR="0070536D">
        <w:rPr>
          <w:rFonts w:ascii="Book Antiqua" w:hAnsi="Book Antiqua" w:cs="Times New Roman"/>
        </w:rPr>
        <w:t xml:space="preserve"> (9am to 5pm)</w:t>
      </w:r>
      <w:r w:rsidR="00737F27">
        <w:rPr>
          <w:rFonts w:ascii="Book Antiqua" w:hAnsi="Book Antiqua" w:cs="Times New Roman"/>
        </w:rPr>
        <w:t xml:space="preserve"> and</w:t>
      </w:r>
      <w:r w:rsidR="00132B19">
        <w:rPr>
          <w:rFonts w:ascii="Book Antiqua" w:hAnsi="Book Antiqua" w:cs="Times New Roman"/>
        </w:rPr>
        <w:t xml:space="preserve"> days (Monday to Friday)</w:t>
      </w:r>
      <w:r w:rsidR="0099611F" w:rsidRPr="00A408FE">
        <w:rPr>
          <w:rFonts w:ascii="Book Antiqua" w:hAnsi="Book Antiqua" w:cs="Times New Roman"/>
        </w:rPr>
        <w:t xml:space="preserve">.  </w:t>
      </w:r>
    </w:p>
    <w:p w:rsidR="00C7219D" w:rsidRPr="00A408FE" w:rsidRDefault="00F202AB" w:rsidP="00A408FE">
      <w:pPr>
        <w:jc w:val="both"/>
        <w:rPr>
          <w:rFonts w:ascii="Book Antiqua" w:hAnsi="Book Antiqua"/>
        </w:rPr>
      </w:pPr>
      <w:r>
        <w:rPr>
          <w:rFonts w:ascii="Book Antiqua" w:hAnsi="Book Antiqua" w:cs="Times New Roman"/>
        </w:rPr>
        <w:t>Open Auction Procedure shall be adopted and highest auction bid/offer shall be declared successful.</w:t>
      </w:r>
      <w:r w:rsidRPr="00A408FE">
        <w:rPr>
          <w:rFonts w:ascii="Book Antiqua" w:hAnsi="Book Antiqua"/>
        </w:rPr>
        <w:t xml:space="preserve"> </w:t>
      </w:r>
      <w:r w:rsidR="0099611F" w:rsidRPr="00A408FE">
        <w:rPr>
          <w:rFonts w:ascii="Book Antiqua" w:hAnsi="Book Antiqua"/>
        </w:rPr>
        <w:t>The successful bidder will have to provide/submit 25% of the total bid/offer price in the form of Pay Order/ Demand Draft on th</w:t>
      </w:r>
      <w:r>
        <w:rPr>
          <w:rFonts w:ascii="Book Antiqua" w:hAnsi="Book Antiqua"/>
        </w:rPr>
        <w:t>e spot/same day, otherwise their</w:t>
      </w:r>
      <w:r w:rsidR="0099611F" w:rsidRPr="00A408FE">
        <w:rPr>
          <w:rFonts w:ascii="Book Antiqua" w:hAnsi="Book Antiqua"/>
        </w:rPr>
        <w:t xml:space="preserve"> bid will be considered as cancelled</w:t>
      </w:r>
      <w:r>
        <w:rPr>
          <w:rFonts w:ascii="Book Antiqua" w:hAnsi="Book Antiqua"/>
        </w:rPr>
        <w:t>.</w:t>
      </w:r>
      <w:r w:rsidR="0099611F" w:rsidRPr="00A408FE">
        <w:rPr>
          <w:rFonts w:ascii="Book Antiqua" w:hAnsi="Book Antiqua"/>
        </w:rPr>
        <w:t xml:space="preserve"> Successful bidder will have to deposit the balance amount within 07 days after receiving the award letter, otherwise the already deposited amount of 25% will be forfeited.</w:t>
      </w:r>
    </w:p>
    <w:p w:rsidR="00C7219D" w:rsidRPr="00A408FE" w:rsidRDefault="00F202AB" w:rsidP="00A408FE">
      <w:pPr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Auction Notice, List of Items and Auction Participation Form can be obtained from the undersigned or downloaded from </w:t>
      </w:r>
      <w:hyperlink r:id="rId6" w:history="1">
        <w:r w:rsidRPr="00A408FE">
          <w:rPr>
            <w:rStyle w:val="Hyperlink"/>
            <w:rFonts w:ascii="Book Antiqua" w:hAnsi="Book Antiqua" w:cs="Times New Roman"/>
          </w:rPr>
          <w:t>www.ppra.org.pk</w:t>
        </w:r>
      </w:hyperlink>
      <w:r w:rsidRPr="00A408FE">
        <w:rPr>
          <w:rFonts w:ascii="Book Antiqua" w:hAnsi="Book Antiqua" w:cs="Times New Roman"/>
        </w:rPr>
        <w:t xml:space="preserve"> or </w:t>
      </w:r>
      <w:hyperlink r:id="rId7" w:history="1">
        <w:r w:rsidRPr="00A408FE">
          <w:rPr>
            <w:rStyle w:val="Hyperlink"/>
            <w:rFonts w:ascii="Book Antiqua" w:hAnsi="Book Antiqua" w:cs="Times New Roman"/>
          </w:rPr>
          <w:t>www.tdap.gov.pk</w:t>
        </w:r>
      </w:hyperlink>
      <w:r w:rsidRPr="00A408FE">
        <w:rPr>
          <w:rFonts w:ascii="Book Antiqua" w:hAnsi="Book Antiqua" w:cs="Times New Roman"/>
        </w:rPr>
        <w:t>.</w:t>
      </w:r>
    </w:p>
    <w:p w:rsidR="00C7219D" w:rsidRPr="00A408FE" w:rsidRDefault="0099611F" w:rsidP="00A408FE">
      <w:pPr>
        <w:jc w:val="both"/>
        <w:rPr>
          <w:rFonts w:ascii="Book Antiqua" w:hAnsi="Book Antiqua" w:cs="Times New Roman"/>
        </w:rPr>
      </w:pPr>
      <w:r w:rsidRPr="00A408FE">
        <w:rPr>
          <w:rFonts w:ascii="Book Antiqua" w:hAnsi="Book Antiqua" w:cs="Times New Roman"/>
        </w:rPr>
        <w:t>TDAP reserves the right to</w:t>
      </w:r>
      <w:r w:rsidR="00F202AB">
        <w:rPr>
          <w:rFonts w:ascii="Book Antiqua" w:hAnsi="Book Antiqua" w:cs="Times New Roman"/>
        </w:rPr>
        <w:t xml:space="preserve"> accept or reject any / all auction bid(s)/offer(s)</w:t>
      </w:r>
      <w:r w:rsidRPr="00A408FE">
        <w:rPr>
          <w:rFonts w:ascii="Book Antiqua" w:hAnsi="Book Antiqua" w:cs="Times New Roman"/>
        </w:rPr>
        <w:t xml:space="preserve"> without assigning any reason thereof. </w:t>
      </w:r>
    </w:p>
    <w:p w:rsidR="00C7219D" w:rsidRDefault="00C7219D" w:rsidP="00A408FE">
      <w:pPr>
        <w:pStyle w:val="NoSpacing1"/>
        <w:rPr>
          <w:rFonts w:ascii="Book Antiqua" w:hAnsi="Book Antiqua"/>
        </w:rPr>
      </w:pPr>
    </w:p>
    <w:p w:rsidR="000D3770" w:rsidRPr="00A408FE" w:rsidRDefault="000D3770" w:rsidP="00A408FE">
      <w:pPr>
        <w:pStyle w:val="NoSpacing1"/>
        <w:rPr>
          <w:rFonts w:ascii="Book Antiqua" w:hAnsi="Book Antiqua"/>
        </w:rPr>
      </w:pPr>
      <w:bookmarkStart w:id="0" w:name="_GoBack"/>
      <w:bookmarkEnd w:id="0"/>
    </w:p>
    <w:p w:rsidR="00C7219D" w:rsidRPr="00A408FE" w:rsidRDefault="0099611F" w:rsidP="00A408FE">
      <w:pPr>
        <w:pStyle w:val="NoSpacing1"/>
        <w:rPr>
          <w:rFonts w:ascii="Book Antiqua" w:hAnsi="Book Antiqua"/>
        </w:rPr>
      </w:pPr>
      <w:r w:rsidRPr="00A408FE">
        <w:rPr>
          <w:rFonts w:ascii="Book Antiqua" w:hAnsi="Book Antiqua"/>
        </w:rPr>
        <w:t>Rohail Nazir</w:t>
      </w:r>
    </w:p>
    <w:p w:rsidR="00C7219D" w:rsidRPr="00A408FE" w:rsidRDefault="0099611F" w:rsidP="00A408FE">
      <w:pPr>
        <w:pStyle w:val="NoSpacing1"/>
        <w:rPr>
          <w:rFonts w:ascii="Book Antiqua" w:hAnsi="Book Antiqua"/>
        </w:rPr>
      </w:pPr>
      <w:r w:rsidRPr="00A408FE">
        <w:rPr>
          <w:rFonts w:ascii="Book Antiqua" w:hAnsi="Book Antiqua"/>
        </w:rPr>
        <w:t>Deputy Director</w:t>
      </w:r>
    </w:p>
    <w:p w:rsidR="00C7219D" w:rsidRPr="00A408FE" w:rsidRDefault="0099611F" w:rsidP="00A408FE">
      <w:pPr>
        <w:pStyle w:val="NoSpacing1"/>
        <w:rPr>
          <w:rFonts w:ascii="Book Antiqua" w:hAnsi="Book Antiqua"/>
        </w:rPr>
      </w:pPr>
      <w:r w:rsidRPr="00A408FE">
        <w:rPr>
          <w:rFonts w:ascii="Book Antiqua" w:hAnsi="Book Antiqua"/>
        </w:rPr>
        <w:t>Trade Development Authority of Pakistan (TDAP)</w:t>
      </w:r>
    </w:p>
    <w:p w:rsidR="00C7219D" w:rsidRPr="00A408FE" w:rsidRDefault="0099611F" w:rsidP="00A408FE">
      <w:pPr>
        <w:pStyle w:val="NoSpacing1"/>
        <w:rPr>
          <w:rFonts w:ascii="Book Antiqua" w:hAnsi="Book Antiqua"/>
        </w:rPr>
      </w:pPr>
      <w:r w:rsidRPr="00A408FE">
        <w:rPr>
          <w:rFonts w:ascii="Book Antiqua" w:hAnsi="Book Antiqua"/>
        </w:rPr>
        <w:t>62-A Garden Block, Garden Town Lahore</w:t>
      </w:r>
    </w:p>
    <w:p w:rsidR="00A408FE" w:rsidRDefault="0099611F" w:rsidP="00A408FE">
      <w:pPr>
        <w:pStyle w:val="NoSpacing1"/>
        <w:rPr>
          <w:rFonts w:ascii="Book Antiqua" w:hAnsi="Book Antiqua"/>
        </w:rPr>
      </w:pPr>
      <w:r w:rsidRPr="00A408FE">
        <w:rPr>
          <w:rFonts w:ascii="Book Antiqua" w:hAnsi="Book Antiqua"/>
        </w:rPr>
        <w:t>042-99230658</w:t>
      </w:r>
    </w:p>
    <w:p w:rsidR="000D3770" w:rsidRPr="00A408FE" w:rsidRDefault="000D3770" w:rsidP="00A408FE">
      <w:pPr>
        <w:pStyle w:val="NoSpacing1"/>
        <w:rPr>
          <w:rFonts w:ascii="Book Antiqua" w:hAnsi="Book Antiqua"/>
        </w:rPr>
      </w:pPr>
      <w:hyperlink r:id="rId8" w:history="1">
        <w:r w:rsidRPr="00EF3B8C">
          <w:rPr>
            <w:rStyle w:val="Hyperlink"/>
            <w:rFonts w:ascii="Book Antiqua" w:hAnsi="Book Antiqua"/>
          </w:rPr>
          <w:t>rohail.ploth@tdap.gov.pk</w:t>
        </w:r>
      </w:hyperlink>
      <w:r>
        <w:rPr>
          <w:rFonts w:ascii="Book Antiqua" w:hAnsi="Book Antiqua"/>
        </w:rPr>
        <w:t xml:space="preserve"> </w:t>
      </w:r>
    </w:p>
    <w:p w:rsidR="00A408FE" w:rsidRPr="00A408FE" w:rsidRDefault="00A408FE" w:rsidP="00A408FE">
      <w:pPr>
        <w:pStyle w:val="NoSpacing1"/>
        <w:rPr>
          <w:rFonts w:ascii="Book Antiqua" w:hAnsi="Book Antiqua"/>
        </w:rPr>
      </w:pPr>
    </w:p>
    <w:p w:rsidR="00A04EE6" w:rsidRDefault="00A04EE6" w:rsidP="00A04EE6">
      <w:pPr>
        <w:pStyle w:val="NoSpacing1"/>
        <w:jc w:val="both"/>
        <w:rPr>
          <w:rFonts w:ascii="Book Antiqua" w:hAnsi="Book Antiqua"/>
        </w:rPr>
      </w:pPr>
    </w:p>
    <w:sectPr w:rsidR="00A04EE6">
      <w:headerReference w:type="even" r:id="rId9"/>
      <w:headerReference w:type="default" r:id="rId10"/>
      <w:headerReference w:type="first" r:id="rId11"/>
      <w:type w:val="continuous"/>
      <w:pgSz w:w="12240" w:h="15840"/>
      <w:pgMar w:top="1728" w:right="1728" w:bottom="245" w:left="158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143" w:rsidRDefault="00B52143">
      <w:pPr>
        <w:spacing w:after="0"/>
      </w:pPr>
      <w:r>
        <w:separator/>
      </w:r>
    </w:p>
  </w:endnote>
  <w:endnote w:type="continuationSeparator" w:id="0">
    <w:p w:rsidR="00B52143" w:rsidRDefault="00B5214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143" w:rsidRDefault="00B52143">
      <w:pPr>
        <w:spacing w:after="0"/>
      </w:pPr>
      <w:r>
        <w:separator/>
      </w:r>
    </w:p>
  </w:footnote>
  <w:footnote w:type="continuationSeparator" w:id="0">
    <w:p w:rsidR="00B52143" w:rsidRDefault="00B5214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19D" w:rsidRDefault="0099611F">
    <w:r>
      <w:rPr>
        <w:noProof/>
      </w:rPr>
      <mc:AlternateContent>
        <mc:Choice Requires="wps">
          <w:drawing>
            <wp:anchor distT="0" distB="0" distL="0" distR="0" simplePos="0" relativeHeight="251656192" behindDoc="1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0" b="0"/>
              <wp:wrapNone/>
              <wp:docPr id="1" name="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100000"/>
                        </a:srgbClr>
                      </a:solidFill>
                      <a:ln w="12700" cap="flat" cmpd="sng">
                        <a:noFill/>
                        <a:prstDash val="solid"/>
                      </a:ln>
                    </wps:spPr>
                    <wps:txbx>
                      <w:txbxContent>
                        <w:p w:rsidR="00C7219D" w:rsidRDefault="0099611F"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</w:rPr>
                            <w:t>Created with a trial version of Syncfusion Essential DocIO.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0005" tIns="46799" rIns="90005" bIns="46799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" o:spid="_x0000_s1026" style="position:absolute;left:0;text-align:left;margin-left:0;margin-top:0;width:281pt;height:25pt;z-index:-251660288;visibility:visible;mso-wrap-style:square;mso-wrap-distance-left:0;mso-wrap-distance-top:0;mso-wrap-distance-right:0;mso-wrap-distance-bottom:0;mso-position-horizontal:center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" stroked="f" strokeweight="1pt">
              <v:textbox inset="2.50014mm,1.3mm,2.50014mm,1.3mm">
                <w:txbxContent>
                  <w:p w:rsidR="00C7219D" w:rsidRDefault="0099611F">
                    <w:r>
                      <w:rPr>
                        <w:rFonts w:ascii="Calibri" w:eastAsia="Calibri" w:hAnsi="Calibri" w:cs="Calibri"/>
                        <w:b/>
                        <w:color w:val="000000"/>
                      </w:rPr>
                      <w:t>Created with a trial version of Syncfusion Essential DocIO.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19D" w:rsidRPr="00A04EE6" w:rsidRDefault="00A04EE6" w:rsidP="00A04EE6">
    <w:pPr>
      <w:tabs>
        <w:tab w:val="center" w:pos="4464"/>
        <w:tab w:val="left" w:pos="6465"/>
      </w:tabs>
      <w:jc w:val="left"/>
      <w:rPr>
        <w:rFonts w:ascii="Book Antiqua" w:hAnsi="Book Antiqua"/>
        <w:b/>
        <w:sz w:val="40"/>
        <w:szCs w:val="40"/>
      </w:rPr>
    </w:pPr>
    <w:r>
      <w:tab/>
    </w:r>
    <w:r w:rsidR="0099611F" w:rsidRPr="00A04EE6">
      <w:rPr>
        <w:rFonts w:ascii="Book Antiqua" w:hAnsi="Book Antiqua"/>
        <w:b/>
        <w:noProof/>
        <w:sz w:val="40"/>
        <w:szCs w:val="40"/>
      </w:rPr>
      <mc:AlternateContent>
        <mc:Choice Requires="wps">
          <w:drawing>
            <wp:anchor distT="0" distB="0" distL="0" distR="0" simplePos="0" relativeHeight="251655168" behindDoc="1" locked="0" layoutInCell="1" allowOverlap="1" wp14:anchorId="4844E6E5" wp14:editId="165AAC85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0" b="0"/>
              <wp:wrapNone/>
              <wp:docPr id="3" name="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100000"/>
                        </a:srgbClr>
                      </a:solidFill>
                      <a:ln w="12700" cap="flat" cmpd="sng">
                        <a:noFill/>
                        <a:prstDash val="solid"/>
                      </a:ln>
                    </wps:spPr>
                    <wps:txbx>
                      <w:txbxContent>
                        <w:p w:rsidR="00C7219D" w:rsidRDefault="00C7219D" w:rsidP="00A04EE6">
                          <w:pPr>
                            <w:jc w:val="both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0005" tIns="46799" rIns="90005" bIns="46799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844E6E5" id="_x0000_s1027" style="position:absolute;margin-left:0;margin-top:0;width:281pt;height:25pt;z-index:-251661312;visibility:visible;mso-wrap-style:square;mso-wrap-distance-left:0;mso-wrap-distance-top:0;mso-wrap-distance-right:0;mso-wrap-distance-bottom:0;mso-position-horizontal:center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" stroked="f" strokeweight="1pt">
              <v:textbox inset="2.50014mm,1.3mm,2.50014mm,1.3mm">
                <w:txbxContent>
                  <w:p w:rsidR="00C7219D" w:rsidRDefault="00C7219D" w:rsidP="00A04EE6">
                    <w:pPr>
                      <w:jc w:val="both"/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19D" w:rsidRDefault="0099611F">
    <w:r>
      <w:rPr>
        <w:noProof/>
      </w:rPr>
      <mc:AlternateContent>
        <mc:Choice Requires="wps">
          <w:drawing>
            <wp:anchor distT="0" distB="0" distL="0" distR="0" simplePos="0" relativeHeight="251657216" behindDoc="1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posOffset>0</wp:posOffset>
              </wp:positionV>
              <wp:extent cx="3568700" cy="317500"/>
              <wp:effectExtent l="0" t="0" r="0" b="0"/>
              <wp:wrapNone/>
              <wp:docPr id="2" name="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68700" cy="3175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100000"/>
                        </a:srgbClr>
                      </a:solidFill>
                      <a:ln w="12700" cap="flat" cmpd="sng">
                        <a:noFill/>
                        <a:prstDash val="solid"/>
                      </a:ln>
                    </wps:spPr>
                    <wps:txbx>
                      <w:txbxContent>
                        <w:p w:rsidR="00C7219D" w:rsidRDefault="0099611F"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</w:rPr>
                            <w:t>Created with a trial version of Syncfusion Essential DocIO.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0005" tIns="46799" rIns="90005" bIns="46799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8" style="position:absolute;left:0;text-align:left;margin-left:0;margin-top:0;width:281pt;height:25pt;z-index:-251659264;visibility:visible;mso-wrap-style:square;mso-wrap-distance-left:0;mso-wrap-distance-top:0;mso-wrap-distance-right:0;mso-wrap-distance-bottom:0;mso-position-horizontal:center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" stroked="f" strokeweight="1pt">
              <v:textbox inset="2.50014mm,1.3mm,2.50014mm,1.3mm">
                <w:txbxContent>
                  <w:p w:rsidR="00C7219D" w:rsidRDefault="0099611F">
                    <w:r>
                      <w:rPr>
                        <w:rFonts w:ascii="Calibri" w:eastAsia="Calibri" w:hAnsi="Calibri" w:cs="Calibri"/>
                        <w:b/>
                        <w:color w:val="000000"/>
                      </w:rPr>
                      <w:t>Created with a trial version of Syncfusion Essential DocIO.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19D"/>
    <w:rsid w:val="0003338E"/>
    <w:rsid w:val="00063284"/>
    <w:rsid w:val="000D3770"/>
    <w:rsid w:val="00132B19"/>
    <w:rsid w:val="0070536D"/>
    <w:rsid w:val="00737F27"/>
    <w:rsid w:val="00810ACE"/>
    <w:rsid w:val="0099611F"/>
    <w:rsid w:val="00A04EE6"/>
    <w:rsid w:val="00A408FE"/>
    <w:rsid w:val="00B52143"/>
    <w:rsid w:val="00C7219D"/>
    <w:rsid w:val="00D270C4"/>
    <w:rsid w:val="00F2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63D7701-57F0-437D-A72F-6A95D7F02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uiPriority w:val="1"/>
    <w:qFormat/>
    <w:pPr>
      <w:spacing w:after="0"/>
    </w:p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A04EE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04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hail.ploth@tdap.gov.p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tdap.gov.p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pra.org.p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LENOVO</cp:lastModifiedBy>
  <cp:revision>10</cp:revision>
  <dcterms:created xsi:type="dcterms:W3CDTF">2023-05-03T08:42:00Z</dcterms:created>
  <dcterms:modified xsi:type="dcterms:W3CDTF">2023-05-03T10:37:00Z</dcterms:modified>
</cp:coreProperties>
</file>