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D4" w:rsidRPr="00DA57D4" w:rsidRDefault="00DA57D4" w:rsidP="00DA57D4">
      <w:pPr>
        <w:jc w:val="center"/>
        <w:rPr>
          <w:b/>
          <w:bCs/>
          <w:sz w:val="36"/>
          <w:szCs w:val="36"/>
          <w:u w:val="single"/>
        </w:rPr>
      </w:pPr>
      <w:r w:rsidRPr="00DA57D4">
        <w:rPr>
          <w:b/>
          <w:bCs/>
          <w:sz w:val="36"/>
          <w:szCs w:val="36"/>
          <w:u w:val="single"/>
        </w:rPr>
        <w:t>Tariff Rates of Ka</w:t>
      </w:r>
      <w:bookmarkStart w:id="0" w:name="_GoBack"/>
      <w:bookmarkEnd w:id="0"/>
      <w:r w:rsidRPr="00DA57D4">
        <w:rPr>
          <w:b/>
          <w:bCs/>
          <w:sz w:val="36"/>
          <w:szCs w:val="36"/>
          <w:u w:val="single"/>
        </w:rPr>
        <w:t>rachi Expo Centre</w:t>
      </w: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669"/>
        <w:gridCol w:w="1632"/>
        <w:gridCol w:w="1757"/>
      </w:tblGrid>
      <w:tr w:rsidR="00AC7A15" w:rsidRPr="00AC7A15" w:rsidTr="00DA57D4">
        <w:trPr>
          <w:trHeight w:val="800"/>
          <w:jc w:val="center"/>
        </w:trPr>
        <w:tc>
          <w:tcPr>
            <w:tcW w:w="2489"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b/>
                <w:bCs/>
                <w:color w:val="000000"/>
                <w:sz w:val="28"/>
                <w:szCs w:val="28"/>
              </w:rPr>
            </w:pPr>
            <w:r w:rsidRPr="00AC7A15">
              <w:rPr>
                <w:rFonts w:asciiTheme="minorBidi" w:eastAsia="Times New Roman" w:hAnsiTheme="minorBidi"/>
                <w:b/>
                <w:bCs/>
                <w:color w:val="000000"/>
                <w:sz w:val="28"/>
                <w:szCs w:val="28"/>
              </w:rPr>
              <w:t>Exhibition</w:t>
            </w:r>
          </w:p>
        </w:tc>
        <w:tc>
          <w:tcPr>
            <w:tcW w:w="2669"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b/>
                <w:bCs/>
                <w:color w:val="000000"/>
                <w:sz w:val="28"/>
                <w:szCs w:val="28"/>
              </w:rPr>
            </w:pPr>
            <w:r w:rsidRPr="00AC7A15">
              <w:rPr>
                <w:rFonts w:asciiTheme="minorBidi" w:eastAsia="Times New Roman" w:hAnsiTheme="minorBidi"/>
                <w:b/>
                <w:bCs/>
                <w:color w:val="000000"/>
                <w:sz w:val="28"/>
                <w:szCs w:val="28"/>
              </w:rPr>
              <w:t>Gross Area</w:t>
            </w:r>
          </w:p>
          <w:p w:rsidR="00AC7A15" w:rsidRPr="00AC7A15" w:rsidRDefault="00AC7A15" w:rsidP="00E7340A">
            <w:pPr>
              <w:spacing w:after="0" w:line="240" w:lineRule="auto"/>
              <w:jc w:val="center"/>
              <w:rPr>
                <w:rFonts w:asciiTheme="minorBidi" w:eastAsia="Times New Roman" w:hAnsiTheme="minorBidi"/>
                <w:b/>
                <w:bCs/>
                <w:color w:val="000000"/>
                <w:sz w:val="28"/>
                <w:szCs w:val="28"/>
              </w:rPr>
            </w:pPr>
            <w:r w:rsidRPr="00AC7A15">
              <w:rPr>
                <w:rFonts w:asciiTheme="minorBidi" w:eastAsia="Times New Roman" w:hAnsiTheme="minorBidi"/>
                <w:b/>
                <w:bCs/>
                <w:color w:val="000000"/>
                <w:sz w:val="28"/>
                <w:szCs w:val="28"/>
              </w:rPr>
              <w:t xml:space="preserve">(Sq. </w:t>
            </w:r>
            <w:proofErr w:type="spellStart"/>
            <w:r w:rsidRPr="00AC7A15">
              <w:rPr>
                <w:rFonts w:asciiTheme="minorBidi" w:eastAsia="Times New Roman" w:hAnsiTheme="minorBidi"/>
                <w:b/>
                <w:bCs/>
                <w:color w:val="000000"/>
                <w:sz w:val="28"/>
                <w:szCs w:val="28"/>
              </w:rPr>
              <w:t>Mtr</w:t>
            </w:r>
            <w:proofErr w:type="spellEnd"/>
            <w:r w:rsidRPr="00AC7A15">
              <w:rPr>
                <w:rFonts w:asciiTheme="minorBidi" w:eastAsia="Times New Roman" w:hAnsiTheme="minorBidi"/>
                <w:b/>
                <w:bCs/>
                <w:color w:val="000000"/>
                <w:sz w:val="28"/>
                <w:szCs w:val="28"/>
              </w:rPr>
              <w:t>.)</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b/>
                <w:bCs/>
                <w:color w:val="000000"/>
                <w:sz w:val="28"/>
                <w:szCs w:val="28"/>
              </w:rPr>
            </w:pPr>
            <w:r w:rsidRPr="00AC7A15">
              <w:rPr>
                <w:rFonts w:asciiTheme="minorBidi" w:eastAsia="Times New Roman" w:hAnsiTheme="minorBidi"/>
                <w:b/>
                <w:bCs/>
                <w:color w:val="000000"/>
                <w:sz w:val="28"/>
                <w:szCs w:val="28"/>
              </w:rPr>
              <w:t>Workable</w:t>
            </w:r>
          </w:p>
          <w:p w:rsidR="00AC7A15" w:rsidRPr="00AC7A15" w:rsidRDefault="00AC7A15" w:rsidP="00E7340A">
            <w:pPr>
              <w:spacing w:after="0" w:line="240" w:lineRule="auto"/>
              <w:jc w:val="center"/>
              <w:rPr>
                <w:rFonts w:asciiTheme="minorBidi" w:eastAsia="Times New Roman" w:hAnsiTheme="minorBidi"/>
                <w:b/>
                <w:bCs/>
                <w:color w:val="000000"/>
                <w:sz w:val="28"/>
                <w:szCs w:val="28"/>
              </w:rPr>
            </w:pPr>
            <w:r w:rsidRPr="00AC7A15">
              <w:rPr>
                <w:rFonts w:asciiTheme="minorBidi" w:eastAsia="Times New Roman" w:hAnsiTheme="minorBidi"/>
                <w:b/>
                <w:bCs/>
                <w:color w:val="000000"/>
                <w:sz w:val="28"/>
                <w:szCs w:val="28"/>
              </w:rPr>
              <w:t>Area</w:t>
            </w:r>
          </w:p>
          <w:p w:rsidR="00AC7A15" w:rsidRPr="00AC7A15" w:rsidRDefault="00AC7A15" w:rsidP="00E7340A">
            <w:pPr>
              <w:spacing w:after="0" w:line="240" w:lineRule="auto"/>
              <w:jc w:val="center"/>
              <w:rPr>
                <w:rFonts w:asciiTheme="minorBidi" w:eastAsia="Times New Roman" w:hAnsiTheme="minorBidi"/>
                <w:b/>
                <w:bCs/>
                <w:color w:val="000000"/>
                <w:sz w:val="28"/>
                <w:szCs w:val="28"/>
              </w:rPr>
            </w:pPr>
            <w:r w:rsidRPr="00AC7A15">
              <w:rPr>
                <w:rFonts w:asciiTheme="minorBidi" w:eastAsia="Times New Roman" w:hAnsiTheme="minorBidi"/>
                <w:b/>
                <w:bCs/>
                <w:color w:val="000000"/>
                <w:sz w:val="28"/>
                <w:szCs w:val="28"/>
              </w:rPr>
              <w:t xml:space="preserve">(Sq. </w:t>
            </w:r>
            <w:proofErr w:type="spellStart"/>
            <w:r w:rsidRPr="00AC7A15">
              <w:rPr>
                <w:rFonts w:asciiTheme="minorBidi" w:eastAsia="Times New Roman" w:hAnsiTheme="minorBidi"/>
                <w:b/>
                <w:bCs/>
                <w:color w:val="000000"/>
                <w:sz w:val="28"/>
                <w:szCs w:val="28"/>
              </w:rPr>
              <w:t>Mtr</w:t>
            </w:r>
            <w:proofErr w:type="spellEnd"/>
            <w:r w:rsidRPr="00AC7A15">
              <w:rPr>
                <w:rFonts w:asciiTheme="minorBidi" w:eastAsia="Times New Roman" w:hAnsiTheme="minorBidi"/>
                <w:b/>
                <w:bCs/>
                <w:color w:val="000000"/>
                <w:sz w:val="28"/>
                <w:szCs w:val="28"/>
              </w:rPr>
              <w:t>.)</w:t>
            </w:r>
          </w:p>
        </w:tc>
        <w:tc>
          <w:tcPr>
            <w:tcW w:w="1757" w:type="dxa"/>
            <w:shd w:val="clear" w:color="auto" w:fill="auto"/>
            <w:vAlign w:val="center"/>
            <w:hideMark/>
          </w:tcPr>
          <w:p w:rsidR="00AC7A15" w:rsidRPr="00AC7A15" w:rsidRDefault="00AC7A15" w:rsidP="00E7340A">
            <w:pPr>
              <w:spacing w:after="0" w:line="240" w:lineRule="auto"/>
              <w:jc w:val="center"/>
              <w:rPr>
                <w:rFonts w:asciiTheme="minorBidi" w:eastAsia="Times New Roman" w:hAnsiTheme="minorBidi"/>
                <w:b/>
                <w:bCs/>
                <w:color w:val="000000"/>
                <w:sz w:val="28"/>
                <w:szCs w:val="28"/>
              </w:rPr>
            </w:pPr>
            <w:r w:rsidRPr="00AC7A15">
              <w:rPr>
                <w:rFonts w:asciiTheme="minorBidi" w:eastAsia="Times New Roman" w:hAnsiTheme="minorBidi"/>
                <w:b/>
                <w:bCs/>
                <w:color w:val="000000"/>
                <w:sz w:val="28"/>
                <w:szCs w:val="28"/>
              </w:rPr>
              <w:t>Tariff Rate</w:t>
            </w:r>
          </w:p>
          <w:p w:rsidR="00AC7A15" w:rsidRPr="00AC7A15" w:rsidRDefault="00AC7A15" w:rsidP="00E7340A">
            <w:pPr>
              <w:spacing w:after="0" w:line="240" w:lineRule="auto"/>
              <w:jc w:val="center"/>
              <w:rPr>
                <w:rFonts w:asciiTheme="minorBidi" w:eastAsia="Times New Roman" w:hAnsiTheme="minorBidi"/>
                <w:b/>
                <w:bCs/>
                <w:color w:val="000000"/>
                <w:sz w:val="28"/>
                <w:szCs w:val="28"/>
              </w:rPr>
            </w:pPr>
            <w:r w:rsidRPr="00AC7A15">
              <w:rPr>
                <w:rFonts w:asciiTheme="minorBidi" w:eastAsia="Times New Roman" w:hAnsiTheme="minorBidi"/>
                <w:b/>
                <w:bCs/>
                <w:color w:val="000000"/>
                <w:sz w:val="28"/>
                <w:szCs w:val="28"/>
              </w:rPr>
              <w:t>Per Day</w:t>
            </w:r>
          </w:p>
        </w:tc>
      </w:tr>
      <w:tr w:rsidR="00AC7A15" w:rsidRPr="00AC7A15" w:rsidTr="00DA57D4">
        <w:trPr>
          <w:trHeight w:val="360"/>
          <w:jc w:val="center"/>
        </w:trPr>
        <w:tc>
          <w:tcPr>
            <w:tcW w:w="248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HALL # 1 </w:t>
            </w:r>
          </w:p>
        </w:tc>
        <w:tc>
          <w:tcPr>
            <w:tcW w:w="266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2675</w:t>
            </w:r>
            <w:r>
              <w:rPr>
                <w:rFonts w:asciiTheme="minorBidi" w:eastAsia="Times New Roman" w:hAnsiTheme="minorBidi"/>
                <w:color w:val="000000"/>
                <w:sz w:val="28"/>
                <w:szCs w:val="28"/>
              </w:rPr>
              <w:t xml:space="preserve"> </w:t>
            </w:r>
            <w:r w:rsidRPr="00AC7A15">
              <w:rPr>
                <w:rFonts w:asciiTheme="minorBidi" w:eastAsia="Times New Roman" w:hAnsiTheme="minorBidi"/>
                <w:color w:val="000000"/>
                <w:sz w:val="28"/>
                <w:szCs w:val="28"/>
              </w:rPr>
              <w:t>(2230+445)</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45%</w:t>
            </w:r>
          </w:p>
        </w:tc>
        <w:tc>
          <w:tcPr>
            <w:tcW w:w="1757"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624,000</w:t>
            </w:r>
          </w:p>
        </w:tc>
      </w:tr>
      <w:tr w:rsidR="00AC7A15" w:rsidRPr="00AC7A15" w:rsidTr="00DA57D4">
        <w:trPr>
          <w:trHeight w:val="360"/>
          <w:jc w:val="center"/>
        </w:trPr>
        <w:tc>
          <w:tcPr>
            <w:tcW w:w="248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HALL # 2 </w:t>
            </w:r>
          </w:p>
        </w:tc>
        <w:tc>
          <w:tcPr>
            <w:tcW w:w="266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3500</w:t>
            </w:r>
            <w:r>
              <w:rPr>
                <w:rFonts w:asciiTheme="minorBidi" w:eastAsia="Times New Roman" w:hAnsiTheme="minorBidi"/>
                <w:color w:val="000000"/>
                <w:sz w:val="28"/>
                <w:szCs w:val="28"/>
              </w:rPr>
              <w:t xml:space="preserve"> </w:t>
            </w:r>
            <w:r w:rsidRPr="00AC7A15">
              <w:rPr>
                <w:rFonts w:asciiTheme="minorBidi" w:eastAsia="Times New Roman" w:hAnsiTheme="minorBidi"/>
                <w:color w:val="000000"/>
                <w:sz w:val="28"/>
                <w:szCs w:val="28"/>
              </w:rPr>
              <w:t>(2230+1270)</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45%</w:t>
            </w:r>
          </w:p>
        </w:tc>
        <w:tc>
          <w:tcPr>
            <w:tcW w:w="1757"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757,000</w:t>
            </w:r>
          </w:p>
        </w:tc>
      </w:tr>
      <w:tr w:rsidR="00AC7A15" w:rsidRPr="00AC7A15" w:rsidTr="00DA57D4">
        <w:trPr>
          <w:trHeight w:val="360"/>
          <w:jc w:val="center"/>
        </w:trPr>
        <w:tc>
          <w:tcPr>
            <w:tcW w:w="248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HALL # 3 </w:t>
            </w:r>
          </w:p>
        </w:tc>
        <w:tc>
          <w:tcPr>
            <w:tcW w:w="266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2675</w:t>
            </w:r>
            <w:r>
              <w:rPr>
                <w:rFonts w:asciiTheme="minorBidi" w:eastAsia="Times New Roman" w:hAnsiTheme="minorBidi"/>
                <w:color w:val="000000"/>
                <w:sz w:val="28"/>
                <w:szCs w:val="28"/>
              </w:rPr>
              <w:t xml:space="preserve"> </w:t>
            </w:r>
            <w:r w:rsidRPr="00AC7A15">
              <w:rPr>
                <w:rFonts w:asciiTheme="minorBidi" w:eastAsia="Times New Roman" w:hAnsiTheme="minorBidi"/>
                <w:color w:val="000000"/>
                <w:sz w:val="28"/>
                <w:szCs w:val="28"/>
              </w:rPr>
              <w:t>(2230+445)</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45%</w:t>
            </w:r>
          </w:p>
        </w:tc>
        <w:tc>
          <w:tcPr>
            <w:tcW w:w="1757"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624,000</w:t>
            </w:r>
          </w:p>
        </w:tc>
      </w:tr>
      <w:tr w:rsidR="00AC7A15" w:rsidRPr="00AC7A15" w:rsidTr="00DA57D4">
        <w:trPr>
          <w:trHeight w:val="360"/>
          <w:jc w:val="center"/>
        </w:trPr>
        <w:tc>
          <w:tcPr>
            <w:tcW w:w="248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HALL # 4 </w:t>
            </w:r>
          </w:p>
        </w:tc>
        <w:tc>
          <w:tcPr>
            <w:tcW w:w="266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3715</w:t>
            </w:r>
            <w:r>
              <w:rPr>
                <w:rFonts w:asciiTheme="minorBidi" w:eastAsia="Times New Roman" w:hAnsiTheme="minorBidi"/>
                <w:color w:val="000000"/>
                <w:sz w:val="28"/>
                <w:szCs w:val="28"/>
              </w:rPr>
              <w:t xml:space="preserve"> </w:t>
            </w:r>
            <w:r w:rsidRPr="00AC7A15">
              <w:rPr>
                <w:rFonts w:asciiTheme="minorBidi" w:eastAsia="Times New Roman" w:hAnsiTheme="minorBidi"/>
                <w:color w:val="000000"/>
                <w:sz w:val="28"/>
                <w:szCs w:val="28"/>
              </w:rPr>
              <w:t>(3345+370)</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55%</w:t>
            </w:r>
          </w:p>
        </w:tc>
        <w:tc>
          <w:tcPr>
            <w:tcW w:w="1757"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979,000</w:t>
            </w:r>
          </w:p>
        </w:tc>
      </w:tr>
      <w:tr w:rsidR="00AC7A15" w:rsidRPr="00AC7A15" w:rsidTr="00DA57D4">
        <w:trPr>
          <w:trHeight w:val="360"/>
          <w:jc w:val="center"/>
        </w:trPr>
        <w:tc>
          <w:tcPr>
            <w:tcW w:w="248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HALL # 5 </w:t>
            </w:r>
          </w:p>
        </w:tc>
        <w:tc>
          <w:tcPr>
            <w:tcW w:w="266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3791</w:t>
            </w:r>
            <w:r>
              <w:rPr>
                <w:rFonts w:asciiTheme="minorBidi" w:eastAsia="Times New Roman" w:hAnsiTheme="minorBidi"/>
                <w:color w:val="000000"/>
                <w:sz w:val="28"/>
                <w:szCs w:val="28"/>
              </w:rPr>
              <w:t xml:space="preserve"> </w:t>
            </w:r>
            <w:r w:rsidRPr="00AC7A15">
              <w:rPr>
                <w:rFonts w:asciiTheme="minorBidi" w:eastAsia="Times New Roman" w:hAnsiTheme="minorBidi"/>
                <w:color w:val="000000"/>
                <w:sz w:val="28"/>
                <w:szCs w:val="28"/>
              </w:rPr>
              <w:t>(3345+446)</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55%</w:t>
            </w:r>
          </w:p>
        </w:tc>
        <w:tc>
          <w:tcPr>
            <w:tcW w:w="1757"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979,000</w:t>
            </w:r>
          </w:p>
        </w:tc>
      </w:tr>
      <w:tr w:rsidR="00AC7A15" w:rsidRPr="00AC7A15" w:rsidTr="00DA57D4">
        <w:trPr>
          <w:trHeight w:val="360"/>
          <w:jc w:val="center"/>
        </w:trPr>
        <w:tc>
          <w:tcPr>
            <w:tcW w:w="248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HALL # 6 </w:t>
            </w:r>
          </w:p>
        </w:tc>
        <w:tc>
          <w:tcPr>
            <w:tcW w:w="266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3791</w:t>
            </w:r>
            <w:r>
              <w:rPr>
                <w:rFonts w:asciiTheme="minorBidi" w:eastAsia="Times New Roman" w:hAnsiTheme="minorBidi"/>
                <w:color w:val="000000"/>
                <w:sz w:val="28"/>
                <w:szCs w:val="28"/>
              </w:rPr>
              <w:t xml:space="preserve"> </w:t>
            </w:r>
            <w:r w:rsidRPr="00AC7A15">
              <w:rPr>
                <w:rFonts w:asciiTheme="minorBidi" w:eastAsia="Times New Roman" w:hAnsiTheme="minorBidi"/>
                <w:color w:val="000000"/>
                <w:sz w:val="28"/>
                <w:szCs w:val="28"/>
              </w:rPr>
              <w:t>(3345+446)</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55%</w:t>
            </w:r>
          </w:p>
        </w:tc>
        <w:tc>
          <w:tcPr>
            <w:tcW w:w="1757"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979,000</w:t>
            </w:r>
          </w:p>
        </w:tc>
      </w:tr>
      <w:tr w:rsidR="00AC7A15" w:rsidRPr="00AC7A15" w:rsidTr="00DA57D4">
        <w:trPr>
          <w:trHeight w:val="360"/>
          <w:jc w:val="center"/>
        </w:trPr>
        <w:tc>
          <w:tcPr>
            <w:tcW w:w="248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Foyer Area </w:t>
            </w:r>
          </w:p>
        </w:tc>
        <w:tc>
          <w:tcPr>
            <w:tcW w:w="266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1034 </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60%</w:t>
            </w:r>
          </w:p>
        </w:tc>
        <w:tc>
          <w:tcPr>
            <w:tcW w:w="1757"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267,000</w:t>
            </w:r>
          </w:p>
        </w:tc>
      </w:tr>
      <w:tr w:rsidR="00AC7A15" w:rsidRPr="00AC7A15" w:rsidTr="00DA57D4">
        <w:trPr>
          <w:trHeight w:val="345"/>
          <w:jc w:val="center"/>
        </w:trPr>
        <w:tc>
          <w:tcPr>
            <w:tcW w:w="248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Congress Centre</w:t>
            </w:r>
          </w:p>
        </w:tc>
        <w:tc>
          <w:tcPr>
            <w:tcW w:w="266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900 (1st floor) </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50%</w:t>
            </w:r>
          </w:p>
        </w:tc>
        <w:tc>
          <w:tcPr>
            <w:tcW w:w="1757"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133,000</w:t>
            </w:r>
          </w:p>
        </w:tc>
      </w:tr>
      <w:tr w:rsidR="00AC7A15" w:rsidRPr="00AC7A15" w:rsidTr="00DA57D4">
        <w:trPr>
          <w:trHeight w:val="360"/>
          <w:jc w:val="center"/>
        </w:trPr>
        <w:tc>
          <w:tcPr>
            <w:tcW w:w="248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Congress Centre</w:t>
            </w:r>
          </w:p>
        </w:tc>
        <w:tc>
          <w:tcPr>
            <w:tcW w:w="2669" w:type="dxa"/>
            <w:shd w:val="clear" w:color="auto" w:fill="auto"/>
            <w:noWrap/>
            <w:vAlign w:val="center"/>
            <w:hideMark/>
          </w:tcPr>
          <w:p w:rsidR="00AC7A15" w:rsidRPr="00AC7A15" w:rsidRDefault="00AC7A15" w:rsidP="00E7340A">
            <w:pPr>
              <w:spacing w:after="0" w:line="240" w:lineRule="auto"/>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 xml:space="preserve">910 </w:t>
            </w:r>
            <w:r>
              <w:rPr>
                <w:rFonts w:asciiTheme="minorBidi" w:eastAsia="Times New Roman" w:hAnsiTheme="minorBidi"/>
                <w:color w:val="000000"/>
                <w:sz w:val="28"/>
                <w:szCs w:val="28"/>
              </w:rPr>
              <w:t>(</w:t>
            </w:r>
            <w:r w:rsidRPr="00AC7A15">
              <w:rPr>
                <w:rFonts w:asciiTheme="minorBidi" w:eastAsia="Times New Roman" w:hAnsiTheme="minorBidi"/>
                <w:color w:val="000000"/>
                <w:sz w:val="28"/>
                <w:szCs w:val="28"/>
              </w:rPr>
              <w:t>2nd Floor</w:t>
            </w:r>
            <w:r>
              <w:rPr>
                <w:rFonts w:asciiTheme="minorBidi" w:eastAsia="Times New Roman" w:hAnsiTheme="minorBidi"/>
                <w:color w:val="000000"/>
                <w:sz w:val="28"/>
                <w:szCs w:val="28"/>
              </w:rPr>
              <w:t>)</w:t>
            </w:r>
          </w:p>
        </w:tc>
        <w:tc>
          <w:tcPr>
            <w:tcW w:w="1632"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50%</w:t>
            </w:r>
          </w:p>
        </w:tc>
        <w:tc>
          <w:tcPr>
            <w:tcW w:w="1757" w:type="dxa"/>
            <w:shd w:val="clear" w:color="auto" w:fill="auto"/>
            <w:noWrap/>
            <w:vAlign w:val="center"/>
            <w:hideMark/>
          </w:tcPr>
          <w:p w:rsidR="00AC7A15" w:rsidRPr="00AC7A15" w:rsidRDefault="00AC7A15" w:rsidP="00E7340A">
            <w:pPr>
              <w:spacing w:after="0" w:line="240" w:lineRule="auto"/>
              <w:jc w:val="center"/>
              <w:rPr>
                <w:rFonts w:asciiTheme="minorBidi" w:eastAsia="Times New Roman" w:hAnsiTheme="minorBidi"/>
                <w:color w:val="000000"/>
                <w:sz w:val="28"/>
                <w:szCs w:val="28"/>
              </w:rPr>
            </w:pPr>
            <w:r w:rsidRPr="00AC7A15">
              <w:rPr>
                <w:rFonts w:asciiTheme="minorBidi" w:eastAsia="Times New Roman" w:hAnsiTheme="minorBidi"/>
                <w:color w:val="000000"/>
                <w:sz w:val="28"/>
                <w:szCs w:val="28"/>
              </w:rPr>
              <w:t>178,000</w:t>
            </w:r>
          </w:p>
        </w:tc>
      </w:tr>
    </w:tbl>
    <w:p w:rsidR="00293B6D" w:rsidRPr="00725565" w:rsidRDefault="00293B6D" w:rsidP="00293B6D">
      <w:pPr>
        <w:spacing w:after="0" w:line="240" w:lineRule="auto"/>
        <w:jc w:val="center"/>
        <w:rPr>
          <w:rFonts w:ascii="Arial Narrow" w:hAnsi="Arial Narrow"/>
          <w:sz w:val="28"/>
          <w:szCs w:val="28"/>
        </w:rPr>
      </w:pPr>
    </w:p>
    <w:p w:rsidR="00293B6D" w:rsidRPr="00725565" w:rsidRDefault="00293B6D" w:rsidP="00293B6D">
      <w:pPr>
        <w:spacing w:after="0" w:line="240" w:lineRule="auto"/>
        <w:jc w:val="center"/>
        <w:rPr>
          <w:rFonts w:ascii="Arial Narrow" w:hAnsi="Arial Narrow"/>
          <w:b/>
          <w:sz w:val="28"/>
          <w:szCs w:val="28"/>
          <w:u w:val="single"/>
        </w:rPr>
      </w:pPr>
      <w:r w:rsidRPr="00725565">
        <w:rPr>
          <w:rFonts w:ascii="Arial Narrow" w:hAnsi="Arial Narrow"/>
          <w:b/>
          <w:sz w:val="28"/>
          <w:szCs w:val="28"/>
          <w:u w:val="single"/>
        </w:rPr>
        <w:t>TARIFF RATES OF OUTER AREA OF KARACHI EXPO CENTRE</w:t>
      </w:r>
    </w:p>
    <w:p w:rsidR="00293B6D" w:rsidRPr="00725565" w:rsidRDefault="00293B6D" w:rsidP="00293B6D">
      <w:pPr>
        <w:spacing w:after="0" w:line="240" w:lineRule="auto"/>
        <w:jc w:val="center"/>
        <w:rPr>
          <w:rFonts w:ascii="Arial Narrow" w:hAnsi="Arial Narrow" w:cstheme="minorHAnsi"/>
          <w:b/>
          <w:bCs/>
          <w:sz w:val="28"/>
          <w:szCs w:val="28"/>
          <w:u w:val="single"/>
        </w:rPr>
      </w:pPr>
    </w:p>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324"/>
        <w:gridCol w:w="1250"/>
        <w:gridCol w:w="2070"/>
        <w:gridCol w:w="2081"/>
      </w:tblGrid>
      <w:tr w:rsidR="00293B6D" w:rsidRPr="00725565" w:rsidTr="006F3E16">
        <w:trPr>
          <w:trHeight w:val="800"/>
          <w:jc w:val="center"/>
        </w:trPr>
        <w:tc>
          <w:tcPr>
            <w:tcW w:w="3968" w:type="dxa"/>
            <w:shd w:val="clear" w:color="auto" w:fill="auto"/>
            <w:noWrap/>
            <w:vAlign w:val="center"/>
            <w:hideMark/>
          </w:tcPr>
          <w:p w:rsidR="00293B6D" w:rsidRPr="00725565" w:rsidRDefault="00293B6D" w:rsidP="006F3E16">
            <w:pPr>
              <w:spacing w:after="0" w:line="240" w:lineRule="auto"/>
              <w:jc w:val="center"/>
              <w:rPr>
                <w:rFonts w:ascii="Arial Narrow" w:eastAsia="Times New Roman" w:hAnsi="Arial Narrow"/>
                <w:b/>
                <w:bCs/>
                <w:color w:val="000000"/>
                <w:sz w:val="28"/>
                <w:szCs w:val="28"/>
              </w:rPr>
            </w:pPr>
            <w:r w:rsidRPr="00725565">
              <w:rPr>
                <w:rFonts w:ascii="Arial Narrow" w:eastAsia="Times New Roman" w:hAnsi="Arial Narrow"/>
                <w:b/>
                <w:bCs/>
                <w:color w:val="000000"/>
                <w:sz w:val="28"/>
                <w:szCs w:val="28"/>
              </w:rPr>
              <w:t>Exhibition</w:t>
            </w:r>
          </w:p>
        </w:tc>
        <w:tc>
          <w:tcPr>
            <w:tcW w:w="1324" w:type="dxa"/>
            <w:shd w:val="clear" w:color="auto" w:fill="auto"/>
            <w:noWrap/>
            <w:vAlign w:val="center"/>
            <w:hideMark/>
          </w:tcPr>
          <w:p w:rsidR="00293B6D" w:rsidRPr="00725565" w:rsidRDefault="00293B6D" w:rsidP="006F3E16">
            <w:pPr>
              <w:spacing w:after="0" w:line="240" w:lineRule="auto"/>
              <w:jc w:val="center"/>
              <w:rPr>
                <w:rFonts w:ascii="Arial Narrow" w:eastAsia="Times New Roman" w:hAnsi="Arial Narrow"/>
                <w:b/>
                <w:bCs/>
                <w:color w:val="000000"/>
                <w:sz w:val="28"/>
                <w:szCs w:val="28"/>
              </w:rPr>
            </w:pPr>
            <w:r w:rsidRPr="00725565">
              <w:rPr>
                <w:rFonts w:ascii="Arial Narrow" w:eastAsia="Times New Roman" w:hAnsi="Arial Narrow"/>
                <w:b/>
                <w:bCs/>
                <w:color w:val="000000"/>
                <w:sz w:val="28"/>
                <w:szCs w:val="28"/>
              </w:rPr>
              <w:t>Gross Area</w:t>
            </w:r>
          </w:p>
          <w:p w:rsidR="00293B6D" w:rsidRPr="00725565" w:rsidRDefault="00293B6D" w:rsidP="006F3E16">
            <w:pPr>
              <w:spacing w:after="0" w:line="240" w:lineRule="auto"/>
              <w:jc w:val="center"/>
              <w:rPr>
                <w:rFonts w:ascii="Arial Narrow" w:eastAsia="Times New Roman" w:hAnsi="Arial Narrow"/>
                <w:b/>
                <w:bCs/>
                <w:color w:val="000000"/>
                <w:sz w:val="28"/>
                <w:szCs w:val="28"/>
              </w:rPr>
            </w:pPr>
            <w:r w:rsidRPr="00725565">
              <w:rPr>
                <w:rFonts w:ascii="Arial Narrow" w:eastAsia="Times New Roman" w:hAnsi="Arial Narrow"/>
                <w:b/>
                <w:bCs/>
                <w:color w:val="000000"/>
                <w:sz w:val="28"/>
                <w:szCs w:val="28"/>
              </w:rPr>
              <w:t xml:space="preserve">(Sq. </w:t>
            </w:r>
            <w:proofErr w:type="spellStart"/>
            <w:r w:rsidRPr="00725565">
              <w:rPr>
                <w:rFonts w:ascii="Arial Narrow" w:eastAsia="Times New Roman" w:hAnsi="Arial Narrow"/>
                <w:b/>
                <w:bCs/>
                <w:color w:val="000000"/>
                <w:sz w:val="28"/>
                <w:szCs w:val="28"/>
              </w:rPr>
              <w:t>Mtr</w:t>
            </w:r>
            <w:proofErr w:type="spellEnd"/>
            <w:r w:rsidRPr="00725565">
              <w:rPr>
                <w:rFonts w:ascii="Arial Narrow" w:eastAsia="Times New Roman" w:hAnsi="Arial Narrow"/>
                <w:b/>
                <w:bCs/>
                <w:color w:val="000000"/>
                <w:sz w:val="28"/>
                <w:szCs w:val="28"/>
              </w:rPr>
              <w:t>.)</w:t>
            </w:r>
          </w:p>
        </w:tc>
        <w:tc>
          <w:tcPr>
            <w:tcW w:w="1250" w:type="dxa"/>
            <w:shd w:val="clear" w:color="auto" w:fill="auto"/>
            <w:noWrap/>
            <w:vAlign w:val="center"/>
            <w:hideMark/>
          </w:tcPr>
          <w:p w:rsidR="00293B6D" w:rsidRPr="00725565" w:rsidRDefault="00293B6D" w:rsidP="006F3E16">
            <w:pPr>
              <w:spacing w:after="0" w:line="240" w:lineRule="auto"/>
              <w:jc w:val="center"/>
              <w:rPr>
                <w:rFonts w:ascii="Arial Narrow" w:eastAsia="Times New Roman" w:hAnsi="Arial Narrow"/>
                <w:b/>
                <w:bCs/>
                <w:color w:val="000000"/>
                <w:sz w:val="28"/>
                <w:szCs w:val="28"/>
              </w:rPr>
            </w:pPr>
            <w:r w:rsidRPr="00725565">
              <w:rPr>
                <w:rFonts w:ascii="Arial Narrow" w:eastAsia="Times New Roman" w:hAnsi="Arial Narrow"/>
                <w:b/>
                <w:bCs/>
                <w:color w:val="000000"/>
                <w:sz w:val="28"/>
                <w:szCs w:val="28"/>
              </w:rPr>
              <w:t>Workable</w:t>
            </w:r>
          </w:p>
          <w:p w:rsidR="00293B6D" w:rsidRPr="00725565" w:rsidRDefault="00293B6D" w:rsidP="006F3E16">
            <w:pPr>
              <w:spacing w:after="0" w:line="240" w:lineRule="auto"/>
              <w:jc w:val="center"/>
              <w:rPr>
                <w:rFonts w:ascii="Arial Narrow" w:eastAsia="Times New Roman" w:hAnsi="Arial Narrow"/>
                <w:b/>
                <w:bCs/>
                <w:color w:val="000000"/>
                <w:sz w:val="28"/>
                <w:szCs w:val="28"/>
              </w:rPr>
            </w:pPr>
            <w:r w:rsidRPr="00725565">
              <w:rPr>
                <w:rFonts w:ascii="Arial Narrow" w:eastAsia="Times New Roman" w:hAnsi="Arial Narrow"/>
                <w:b/>
                <w:bCs/>
                <w:color w:val="000000"/>
                <w:sz w:val="28"/>
                <w:szCs w:val="28"/>
              </w:rPr>
              <w:t>Area</w:t>
            </w:r>
          </w:p>
          <w:p w:rsidR="00293B6D" w:rsidRPr="00725565" w:rsidRDefault="00293B6D" w:rsidP="006F3E16">
            <w:pPr>
              <w:spacing w:after="0" w:line="240" w:lineRule="auto"/>
              <w:jc w:val="center"/>
              <w:rPr>
                <w:rFonts w:ascii="Arial Narrow" w:eastAsia="Times New Roman" w:hAnsi="Arial Narrow"/>
                <w:b/>
                <w:bCs/>
                <w:color w:val="000000"/>
                <w:sz w:val="28"/>
                <w:szCs w:val="28"/>
              </w:rPr>
            </w:pPr>
            <w:r w:rsidRPr="00725565">
              <w:rPr>
                <w:rFonts w:ascii="Arial Narrow" w:eastAsia="Times New Roman" w:hAnsi="Arial Narrow"/>
                <w:b/>
                <w:bCs/>
                <w:color w:val="000000"/>
                <w:sz w:val="28"/>
                <w:szCs w:val="28"/>
              </w:rPr>
              <w:t xml:space="preserve">(Sq. </w:t>
            </w:r>
            <w:proofErr w:type="spellStart"/>
            <w:r w:rsidRPr="00725565">
              <w:rPr>
                <w:rFonts w:ascii="Arial Narrow" w:eastAsia="Times New Roman" w:hAnsi="Arial Narrow"/>
                <w:b/>
                <w:bCs/>
                <w:color w:val="000000"/>
                <w:sz w:val="28"/>
                <w:szCs w:val="28"/>
              </w:rPr>
              <w:t>Mtr</w:t>
            </w:r>
            <w:proofErr w:type="spellEnd"/>
            <w:r w:rsidRPr="00725565">
              <w:rPr>
                <w:rFonts w:ascii="Arial Narrow" w:eastAsia="Times New Roman" w:hAnsi="Arial Narrow"/>
                <w:b/>
                <w:bCs/>
                <w:color w:val="000000"/>
                <w:sz w:val="28"/>
                <w:szCs w:val="28"/>
              </w:rPr>
              <w:t>.)</w:t>
            </w:r>
          </w:p>
        </w:tc>
        <w:tc>
          <w:tcPr>
            <w:tcW w:w="2070" w:type="dxa"/>
            <w:shd w:val="clear" w:color="auto" w:fill="auto"/>
            <w:vAlign w:val="center"/>
            <w:hideMark/>
          </w:tcPr>
          <w:p w:rsidR="00293B6D" w:rsidRPr="00725565" w:rsidRDefault="00293B6D" w:rsidP="006F3E16">
            <w:pPr>
              <w:spacing w:after="0" w:line="240" w:lineRule="auto"/>
              <w:jc w:val="center"/>
              <w:rPr>
                <w:rFonts w:ascii="Arial Narrow" w:eastAsia="Times New Roman" w:hAnsi="Arial Narrow"/>
                <w:b/>
                <w:bCs/>
                <w:color w:val="000000"/>
                <w:sz w:val="28"/>
                <w:szCs w:val="28"/>
              </w:rPr>
            </w:pPr>
            <w:r w:rsidRPr="00725565">
              <w:rPr>
                <w:rFonts w:ascii="Arial Narrow" w:eastAsia="Times New Roman" w:hAnsi="Arial Narrow"/>
                <w:b/>
                <w:bCs/>
                <w:color w:val="000000"/>
                <w:sz w:val="28"/>
                <w:szCs w:val="28"/>
              </w:rPr>
              <w:t>Event Day Tariff Rate</w:t>
            </w:r>
          </w:p>
          <w:p w:rsidR="00293B6D" w:rsidRPr="00725565" w:rsidRDefault="00293B6D" w:rsidP="006F3E16">
            <w:pPr>
              <w:spacing w:after="0" w:line="240" w:lineRule="auto"/>
              <w:jc w:val="center"/>
              <w:rPr>
                <w:rFonts w:ascii="Arial Narrow" w:eastAsia="Times New Roman" w:hAnsi="Arial Narrow"/>
                <w:b/>
                <w:bCs/>
                <w:color w:val="000000"/>
                <w:sz w:val="28"/>
                <w:szCs w:val="28"/>
              </w:rPr>
            </w:pPr>
            <w:r w:rsidRPr="00725565">
              <w:rPr>
                <w:rFonts w:ascii="Arial Narrow" w:eastAsia="Times New Roman" w:hAnsi="Arial Narrow"/>
                <w:b/>
                <w:bCs/>
                <w:color w:val="000000"/>
                <w:sz w:val="28"/>
                <w:szCs w:val="28"/>
              </w:rPr>
              <w:t xml:space="preserve">Per </w:t>
            </w:r>
            <w:proofErr w:type="spellStart"/>
            <w:r w:rsidRPr="00725565">
              <w:rPr>
                <w:rFonts w:ascii="Arial Narrow" w:eastAsia="Times New Roman" w:hAnsi="Arial Narrow"/>
                <w:b/>
                <w:bCs/>
                <w:color w:val="000000"/>
                <w:sz w:val="28"/>
                <w:szCs w:val="28"/>
              </w:rPr>
              <w:t>sqm</w:t>
            </w:r>
            <w:proofErr w:type="spellEnd"/>
            <w:r w:rsidRPr="00725565">
              <w:rPr>
                <w:rFonts w:ascii="Arial Narrow" w:eastAsia="Times New Roman" w:hAnsi="Arial Narrow"/>
                <w:b/>
                <w:bCs/>
                <w:color w:val="000000"/>
                <w:sz w:val="28"/>
                <w:szCs w:val="28"/>
              </w:rPr>
              <w:t xml:space="preserve"> per hour</w:t>
            </w:r>
          </w:p>
        </w:tc>
        <w:tc>
          <w:tcPr>
            <w:tcW w:w="2081" w:type="dxa"/>
          </w:tcPr>
          <w:p w:rsidR="00293B6D" w:rsidRPr="00725565" w:rsidRDefault="00293B6D" w:rsidP="006F3E16">
            <w:pPr>
              <w:spacing w:after="0" w:line="240" w:lineRule="auto"/>
              <w:jc w:val="center"/>
              <w:rPr>
                <w:rFonts w:ascii="Arial Narrow" w:eastAsia="Times New Roman" w:hAnsi="Arial Narrow"/>
                <w:b/>
                <w:bCs/>
                <w:color w:val="000000"/>
                <w:sz w:val="28"/>
                <w:szCs w:val="28"/>
              </w:rPr>
            </w:pPr>
            <w:r w:rsidRPr="00725565">
              <w:rPr>
                <w:rFonts w:ascii="Arial Narrow" w:eastAsia="Times New Roman" w:hAnsi="Arial Narrow"/>
                <w:b/>
                <w:bCs/>
                <w:color w:val="000000"/>
                <w:sz w:val="28"/>
                <w:szCs w:val="28"/>
              </w:rPr>
              <w:t xml:space="preserve">Setup &amp; Dismantling Day Tariff Rate per </w:t>
            </w:r>
            <w:proofErr w:type="spellStart"/>
            <w:r w:rsidRPr="00725565">
              <w:rPr>
                <w:rFonts w:ascii="Arial Narrow" w:eastAsia="Times New Roman" w:hAnsi="Arial Narrow"/>
                <w:b/>
                <w:bCs/>
                <w:color w:val="000000"/>
                <w:sz w:val="28"/>
                <w:szCs w:val="28"/>
              </w:rPr>
              <w:t>sqm</w:t>
            </w:r>
            <w:proofErr w:type="spellEnd"/>
            <w:r w:rsidRPr="00725565">
              <w:rPr>
                <w:rFonts w:ascii="Arial Narrow" w:eastAsia="Times New Roman" w:hAnsi="Arial Narrow"/>
                <w:b/>
                <w:bCs/>
                <w:color w:val="000000"/>
                <w:sz w:val="28"/>
                <w:szCs w:val="28"/>
              </w:rPr>
              <w:t xml:space="preserve"> per hour</w:t>
            </w:r>
          </w:p>
        </w:tc>
      </w:tr>
      <w:tr w:rsidR="00293B6D" w:rsidRPr="00725565" w:rsidTr="006F3E16">
        <w:trPr>
          <w:trHeight w:val="360"/>
          <w:jc w:val="center"/>
        </w:trPr>
        <w:tc>
          <w:tcPr>
            <w:tcW w:w="3968" w:type="dxa"/>
            <w:shd w:val="clear" w:color="auto" w:fill="auto"/>
            <w:noWrap/>
            <w:vAlign w:val="center"/>
          </w:tcPr>
          <w:p w:rsidR="00293B6D" w:rsidRPr="00725565" w:rsidRDefault="00293B6D" w:rsidP="006F3E16">
            <w:pPr>
              <w:spacing w:after="0" w:line="240" w:lineRule="auto"/>
              <w:rPr>
                <w:rFonts w:ascii="Arial Narrow" w:eastAsia="Times New Roman" w:hAnsi="Arial Narrow"/>
                <w:color w:val="000000"/>
                <w:sz w:val="28"/>
                <w:szCs w:val="28"/>
              </w:rPr>
            </w:pPr>
            <w:r w:rsidRPr="00792FF1">
              <w:rPr>
                <w:rFonts w:ascii="Arial Narrow" w:eastAsia="Times New Roman" w:hAnsi="Arial Narrow"/>
                <w:b/>
                <w:bCs/>
                <w:color w:val="000000"/>
                <w:sz w:val="28"/>
                <w:szCs w:val="28"/>
              </w:rPr>
              <w:t>Outer Area A</w:t>
            </w:r>
            <w:r w:rsidRPr="00725565">
              <w:rPr>
                <w:rFonts w:ascii="Arial Narrow" w:eastAsia="Times New Roman" w:hAnsi="Arial Narrow"/>
                <w:color w:val="000000"/>
                <w:sz w:val="28"/>
                <w:szCs w:val="28"/>
              </w:rPr>
              <w:t xml:space="preserve"> – in front of Hall 3 facing University Road</w:t>
            </w:r>
          </w:p>
        </w:tc>
        <w:tc>
          <w:tcPr>
            <w:tcW w:w="1324"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4,950</w:t>
            </w:r>
          </w:p>
        </w:tc>
        <w:tc>
          <w:tcPr>
            <w:tcW w:w="1250"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70%</w:t>
            </w:r>
          </w:p>
        </w:tc>
        <w:tc>
          <w:tcPr>
            <w:tcW w:w="2070"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10.00</w:t>
            </w:r>
          </w:p>
        </w:tc>
        <w:tc>
          <w:tcPr>
            <w:tcW w:w="2081" w:type="dxa"/>
            <w:vAlign w:val="center"/>
          </w:tcPr>
          <w:p w:rsidR="00293B6D" w:rsidRPr="00725565" w:rsidRDefault="00293B6D" w:rsidP="006F3E16">
            <w:pPr>
              <w:spacing w:after="0" w:line="240" w:lineRule="auto"/>
              <w:jc w:val="center"/>
              <w:rPr>
                <w:rFonts w:ascii="Arial Narrow" w:hAnsi="Arial Narrow"/>
                <w:sz w:val="28"/>
                <w:szCs w:val="28"/>
              </w:rPr>
            </w:pPr>
            <w:r w:rsidRPr="00725565">
              <w:rPr>
                <w:rFonts w:ascii="Arial Narrow" w:eastAsia="Times New Roman" w:hAnsi="Arial Narrow"/>
                <w:color w:val="000000"/>
                <w:sz w:val="28"/>
                <w:szCs w:val="28"/>
              </w:rPr>
              <w:t>2.00</w:t>
            </w:r>
          </w:p>
        </w:tc>
      </w:tr>
      <w:tr w:rsidR="00293B6D" w:rsidRPr="00725565" w:rsidTr="006F3E16">
        <w:trPr>
          <w:trHeight w:val="360"/>
          <w:jc w:val="center"/>
        </w:trPr>
        <w:tc>
          <w:tcPr>
            <w:tcW w:w="3968" w:type="dxa"/>
            <w:shd w:val="clear" w:color="auto" w:fill="auto"/>
            <w:noWrap/>
            <w:vAlign w:val="center"/>
          </w:tcPr>
          <w:p w:rsidR="00293B6D" w:rsidRPr="00725565" w:rsidRDefault="00293B6D" w:rsidP="006F3E16">
            <w:pPr>
              <w:spacing w:after="0" w:line="240" w:lineRule="auto"/>
              <w:rPr>
                <w:rFonts w:ascii="Arial Narrow" w:eastAsia="Times New Roman" w:hAnsi="Arial Narrow"/>
                <w:color w:val="000000"/>
                <w:sz w:val="28"/>
                <w:szCs w:val="28"/>
              </w:rPr>
            </w:pPr>
            <w:r w:rsidRPr="00792FF1">
              <w:rPr>
                <w:rFonts w:ascii="Arial Narrow" w:eastAsia="Times New Roman" w:hAnsi="Arial Narrow"/>
                <w:b/>
                <w:bCs/>
                <w:color w:val="000000"/>
                <w:sz w:val="28"/>
                <w:szCs w:val="28"/>
              </w:rPr>
              <w:t>Outer Area B</w:t>
            </w:r>
            <w:r w:rsidRPr="00725565">
              <w:rPr>
                <w:rFonts w:ascii="Arial Narrow" w:eastAsia="Times New Roman" w:hAnsi="Arial Narrow"/>
                <w:color w:val="000000"/>
                <w:sz w:val="28"/>
                <w:szCs w:val="28"/>
              </w:rPr>
              <w:t xml:space="preserve"> – in front of Hall 3, 4, and 5 facing Sir Shah </w:t>
            </w:r>
            <w:proofErr w:type="spellStart"/>
            <w:r w:rsidRPr="00725565">
              <w:rPr>
                <w:rFonts w:ascii="Arial Narrow" w:eastAsia="Times New Roman" w:hAnsi="Arial Narrow"/>
                <w:color w:val="000000"/>
                <w:sz w:val="28"/>
                <w:szCs w:val="28"/>
              </w:rPr>
              <w:t>Suleman</w:t>
            </w:r>
            <w:proofErr w:type="spellEnd"/>
            <w:r w:rsidRPr="00725565">
              <w:rPr>
                <w:rFonts w:ascii="Arial Narrow" w:eastAsia="Times New Roman" w:hAnsi="Arial Narrow"/>
                <w:color w:val="000000"/>
                <w:sz w:val="28"/>
                <w:szCs w:val="28"/>
              </w:rPr>
              <w:t xml:space="preserve"> Road</w:t>
            </w:r>
          </w:p>
        </w:tc>
        <w:tc>
          <w:tcPr>
            <w:tcW w:w="1324"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5,000</w:t>
            </w:r>
          </w:p>
        </w:tc>
        <w:tc>
          <w:tcPr>
            <w:tcW w:w="1250"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70%</w:t>
            </w:r>
          </w:p>
        </w:tc>
        <w:tc>
          <w:tcPr>
            <w:tcW w:w="2070"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10.00</w:t>
            </w:r>
          </w:p>
        </w:tc>
        <w:tc>
          <w:tcPr>
            <w:tcW w:w="2081" w:type="dxa"/>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2.00</w:t>
            </w:r>
          </w:p>
        </w:tc>
      </w:tr>
      <w:tr w:rsidR="00293B6D" w:rsidRPr="00725565" w:rsidTr="006F3E16">
        <w:trPr>
          <w:trHeight w:val="360"/>
          <w:jc w:val="center"/>
        </w:trPr>
        <w:tc>
          <w:tcPr>
            <w:tcW w:w="3968" w:type="dxa"/>
            <w:shd w:val="clear" w:color="auto" w:fill="auto"/>
            <w:noWrap/>
            <w:vAlign w:val="center"/>
          </w:tcPr>
          <w:p w:rsidR="00293B6D" w:rsidRPr="00725565" w:rsidRDefault="00293B6D" w:rsidP="006F3E16">
            <w:pPr>
              <w:spacing w:after="0" w:line="240" w:lineRule="auto"/>
              <w:rPr>
                <w:rFonts w:ascii="Arial Narrow" w:eastAsia="Times New Roman" w:hAnsi="Arial Narrow"/>
                <w:color w:val="000000"/>
                <w:sz w:val="28"/>
                <w:szCs w:val="28"/>
              </w:rPr>
            </w:pPr>
            <w:r w:rsidRPr="00792FF1">
              <w:rPr>
                <w:rFonts w:ascii="Arial Narrow" w:eastAsia="Times New Roman" w:hAnsi="Arial Narrow"/>
                <w:b/>
                <w:bCs/>
                <w:color w:val="000000"/>
                <w:sz w:val="28"/>
                <w:szCs w:val="28"/>
              </w:rPr>
              <w:t>Outer Area C</w:t>
            </w:r>
            <w:r w:rsidRPr="00725565">
              <w:rPr>
                <w:rFonts w:ascii="Arial Narrow" w:eastAsia="Times New Roman" w:hAnsi="Arial Narrow"/>
                <w:color w:val="000000"/>
                <w:sz w:val="28"/>
                <w:szCs w:val="28"/>
              </w:rPr>
              <w:t xml:space="preserve"> – In front of Foyer Area</w:t>
            </w:r>
          </w:p>
        </w:tc>
        <w:tc>
          <w:tcPr>
            <w:tcW w:w="1324"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2,200</w:t>
            </w:r>
          </w:p>
        </w:tc>
        <w:tc>
          <w:tcPr>
            <w:tcW w:w="1250"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70%</w:t>
            </w:r>
          </w:p>
        </w:tc>
        <w:tc>
          <w:tcPr>
            <w:tcW w:w="2070"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10.00</w:t>
            </w:r>
          </w:p>
        </w:tc>
        <w:tc>
          <w:tcPr>
            <w:tcW w:w="2081" w:type="dxa"/>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2.00</w:t>
            </w:r>
          </w:p>
        </w:tc>
      </w:tr>
      <w:tr w:rsidR="00293B6D" w:rsidRPr="00725565" w:rsidTr="006F3E16">
        <w:trPr>
          <w:trHeight w:val="360"/>
          <w:jc w:val="center"/>
        </w:trPr>
        <w:tc>
          <w:tcPr>
            <w:tcW w:w="3968" w:type="dxa"/>
            <w:shd w:val="clear" w:color="auto" w:fill="auto"/>
            <w:noWrap/>
          </w:tcPr>
          <w:p w:rsidR="00293B6D" w:rsidRPr="00725565" w:rsidRDefault="00293B6D" w:rsidP="006F3E16">
            <w:pPr>
              <w:spacing w:after="0" w:line="240" w:lineRule="auto"/>
              <w:rPr>
                <w:rFonts w:ascii="Arial Narrow" w:hAnsi="Arial Narrow"/>
                <w:sz w:val="28"/>
                <w:szCs w:val="28"/>
              </w:rPr>
            </w:pPr>
            <w:r w:rsidRPr="00792FF1">
              <w:rPr>
                <w:rFonts w:ascii="Arial Narrow" w:eastAsia="Times New Roman" w:hAnsi="Arial Narrow"/>
                <w:b/>
                <w:bCs/>
                <w:color w:val="000000"/>
                <w:sz w:val="28"/>
                <w:szCs w:val="28"/>
              </w:rPr>
              <w:t>Outer Area D</w:t>
            </w:r>
            <w:r w:rsidRPr="00725565">
              <w:rPr>
                <w:rFonts w:ascii="Arial Narrow" w:eastAsia="Times New Roman" w:hAnsi="Arial Narrow"/>
                <w:color w:val="000000"/>
                <w:sz w:val="28"/>
                <w:szCs w:val="28"/>
              </w:rPr>
              <w:t xml:space="preserve"> – Behind Hall 6</w:t>
            </w:r>
          </w:p>
        </w:tc>
        <w:tc>
          <w:tcPr>
            <w:tcW w:w="1324"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2,666</w:t>
            </w:r>
          </w:p>
        </w:tc>
        <w:tc>
          <w:tcPr>
            <w:tcW w:w="1250"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70%</w:t>
            </w:r>
          </w:p>
        </w:tc>
        <w:tc>
          <w:tcPr>
            <w:tcW w:w="2070"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10.00</w:t>
            </w:r>
          </w:p>
        </w:tc>
        <w:tc>
          <w:tcPr>
            <w:tcW w:w="2081" w:type="dxa"/>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2.00</w:t>
            </w:r>
          </w:p>
        </w:tc>
      </w:tr>
      <w:tr w:rsidR="00293B6D" w:rsidRPr="00725565" w:rsidTr="006F3E16">
        <w:trPr>
          <w:trHeight w:val="360"/>
          <w:jc w:val="center"/>
        </w:trPr>
        <w:tc>
          <w:tcPr>
            <w:tcW w:w="3968" w:type="dxa"/>
            <w:shd w:val="clear" w:color="auto" w:fill="auto"/>
            <w:noWrap/>
          </w:tcPr>
          <w:p w:rsidR="00293B6D" w:rsidRPr="00725565" w:rsidRDefault="00293B6D" w:rsidP="006F3E16">
            <w:pPr>
              <w:spacing w:after="0" w:line="240" w:lineRule="auto"/>
              <w:rPr>
                <w:rFonts w:ascii="Arial Narrow" w:hAnsi="Arial Narrow"/>
                <w:sz w:val="28"/>
                <w:szCs w:val="28"/>
              </w:rPr>
            </w:pPr>
            <w:r w:rsidRPr="00792FF1">
              <w:rPr>
                <w:rFonts w:ascii="Arial Narrow" w:eastAsia="Times New Roman" w:hAnsi="Arial Narrow"/>
                <w:b/>
                <w:bCs/>
                <w:color w:val="000000"/>
                <w:sz w:val="28"/>
                <w:szCs w:val="28"/>
              </w:rPr>
              <w:t>Outer Area E</w:t>
            </w:r>
            <w:r w:rsidRPr="00725565">
              <w:rPr>
                <w:rFonts w:ascii="Arial Narrow" w:eastAsia="Times New Roman" w:hAnsi="Arial Narrow"/>
                <w:color w:val="000000"/>
                <w:sz w:val="28"/>
                <w:szCs w:val="28"/>
              </w:rPr>
              <w:t xml:space="preserve"> – In front of Mount Area</w:t>
            </w:r>
          </w:p>
        </w:tc>
        <w:tc>
          <w:tcPr>
            <w:tcW w:w="1324"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5,000</w:t>
            </w:r>
          </w:p>
        </w:tc>
        <w:tc>
          <w:tcPr>
            <w:tcW w:w="1250" w:type="dxa"/>
            <w:shd w:val="clear" w:color="auto" w:fill="auto"/>
            <w:noWrap/>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70%</w:t>
            </w:r>
          </w:p>
        </w:tc>
        <w:tc>
          <w:tcPr>
            <w:tcW w:w="2070" w:type="dxa"/>
            <w:shd w:val="clear" w:color="auto" w:fill="auto"/>
            <w:noWrap/>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10.00</w:t>
            </w:r>
          </w:p>
        </w:tc>
        <w:tc>
          <w:tcPr>
            <w:tcW w:w="2081" w:type="dxa"/>
            <w:vAlign w:val="center"/>
          </w:tcPr>
          <w:p w:rsidR="00293B6D" w:rsidRPr="00725565" w:rsidRDefault="00293B6D" w:rsidP="006F3E16">
            <w:pPr>
              <w:spacing w:after="0" w:line="240" w:lineRule="auto"/>
              <w:jc w:val="center"/>
              <w:rPr>
                <w:rFonts w:ascii="Arial Narrow" w:eastAsia="Times New Roman" w:hAnsi="Arial Narrow"/>
                <w:color w:val="000000"/>
                <w:sz w:val="28"/>
                <w:szCs w:val="28"/>
              </w:rPr>
            </w:pPr>
            <w:r w:rsidRPr="00725565">
              <w:rPr>
                <w:rFonts w:ascii="Arial Narrow" w:eastAsia="Times New Roman" w:hAnsi="Arial Narrow"/>
                <w:color w:val="000000"/>
                <w:sz w:val="28"/>
                <w:szCs w:val="28"/>
              </w:rPr>
              <w:t>2.00</w:t>
            </w:r>
          </w:p>
        </w:tc>
      </w:tr>
    </w:tbl>
    <w:p w:rsidR="00293B6D" w:rsidRDefault="00293B6D" w:rsidP="00293B6D">
      <w:pPr>
        <w:spacing w:after="0" w:line="240" w:lineRule="auto"/>
        <w:rPr>
          <w:rFonts w:ascii="Arial Narrow" w:hAnsi="Arial Narrow" w:cstheme="minorHAnsi"/>
          <w:sz w:val="28"/>
          <w:szCs w:val="28"/>
        </w:rPr>
      </w:pPr>
    </w:p>
    <w:p w:rsidR="00293B6D" w:rsidRPr="00725565" w:rsidRDefault="00293B6D" w:rsidP="00293B6D">
      <w:pPr>
        <w:spacing w:after="0" w:line="240" w:lineRule="auto"/>
        <w:rPr>
          <w:rFonts w:ascii="Arial Narrow" w:hAnsi="Arial Narrow" w:cstheme="minorHAnsi"/>
          <w:b/>
          <w:sz w:val="28"/>
          <w:szCs w:val="28"/>
        </w:rPr>
      </w:pPr>
      <w:r w:rsidRPr="00725565">
        <w:rPr>
          <w:rFonts w:ascii="Arial Narrow" w:hAnsi="Arial Narrow" w:cstheme="minorHAnsi"/>
          <w:b/>
          <w:sz w:val="28"/>
          <w:szCs w:val="28"/>
          <w:u w:val="single"/>
        </w:rPr>
        <w:t>Terms of Reference for Renting Outer Areas</w:t>
      </w:r>
      <w:r w:rsidRPr="00725565">
        <w:rPr>
          <w:rFonts w:ascii="Arial Narrow" w:hAnsi="Arial Narrow" w:cstheme="minorHAnsi"/>
          <w:b/>
          <w:sz w:val="28"/>
          <w:szCs w:val="28"/>
        </w:rPr>
        <w:t>:</w:t>
      </w:r>
    </w:p>
    <w:p w:rsidR="00293B6D" w:rsidRPr="00725565" w:rsidRDefault="00293B6D" w:rsidP="00293B6D">
      <w:pPr>
        <w:spacing w:after="0" w:line="240" w:lineRule="auto"/>
        <w:rPr>
          <w:rFonts w:ascii="Arial Narrow" w:hAnsi="Arial Narrow" w:cstheme="minorHAnsi"/>
          <w:b/>
          <w:sz w:val="28"/>
          <w:szCs w:val="28"/>
        </w:rPr>
      </w:pPr>
    </w:p>
    <w:p w:rsidR="00293B6D" w:rsidRDefault="00293B6D" w:rsidP="00293B6D">
      <w:pPr>
        <w:pStyle w:val="ListParagraph"/>
        <w:numPr>
          <w:ilvl w:val="0"/>
          <w:numId w:val="1"/>
        </w:numPr>
        <w:spacing w:after="0" w:line="240" w:lineRule="auto"/>
        <w:jc w:val="both"/>
        <w:rPr>
          <w:rFonts w:ascii="Arial Narrow" w:hAnsi="Arial Narrow"/>
          <w:sz w:val="28"/>
          <w:szCs w:val="28"/>
        </w:rPr>
      </w:pPr>
      <w:r w:rsidRPr="00725565">
        <w:rPr>
          <w:rFonts w:ascii="Arial Narrow" w:hAnsi="Arial Narrow"/>
          <w:sz w:val="28"/>
          <w:szCs w:val="28"/>
        </w:rPr>
        <w:t>Minimum Area of any Outer Area to be rented out will be 70%.</w:t>
      </w:r>
    </w:p>
    <w:p w:rsidR="00293B6D" w:rsidRPr="00725565" w:rsidRDefault="00293B6D" w:rsidP="00293B6D">
      <w:pPr>
        <w:pStyle w:val="ListParagraph"/>
        <w:spacing w:after="0" w:line="240" w:lineRule="auto"/>
        <w:jc w:val="both"/>
        <w:rPr>
          <w:rFonts w:ascii="Arial Narrow" w:hAnsi="Arial Narrow"/>
          <w:sz w:val="28"/>
          <w:szCs w:val="28"/>
        </w:rPr>
      </w:pPr>
    </w:p>
    <w:p w:rsidR="00293B6D" w:rsidRDefault="00293B6D" w:rsidP="00293B6D">
      <w:pPr>
        <w:pStyle w:val="ListParagraph"/>
        <w:numPr>
          <w:ilvl w:val="0"/>
          <w:numId w:val="1"/>
        </w:numPr>
        <w:spacing w:after="0" w:line="240" w:lineRule="auto"/>
        <w:jc w:val="both"/>
        <w:rPr>
          <w:rFonts w:ascii="Arial Narrow" w:hAnsi="Arial Narrow"/>
          <w:sz w:val="28"/>
          <w:szCs w:val="28"/>
        </w:rPr>
      </w:pPr>
      <w:r w:rsidRPr="00725565">
        <w:rPr>
          <w:rFonts w:ascii="Arial Narrow" w:hAnsi="Arial Narrow"/>
          <w:sz w:val="28"/>
          <w:szCs w:val="28"/>
        </w:rPr>
        <w:t>Minimum hours of any Outer Area to be rented out for Event, Setup, and Dismantling Days will be eight (08) hours each.</w:t>
      </w:r>
    </w:p>
    <w:p w:rsidR="00293B6D" w:rsidRPr="007E530B" w:rsidRDefault="00293B6D" w:rsidP="00293B6D">
      <w:pPr>
        <w:pStyle w:val="ListParagraph"/>
        <w:rPr>
          <w:rFonts w:ascii="Arial Narrow" w:hAnsi="Arial Narrow"/>
          <w:sz w:val="28"/>
          <w:szCs w:val="28"/>
        </w:rPr>
      </w:pPr>
    </w:p>
    <w:p w:rsidR="00293B6D" w:rsidRDefault="00293B6D" w:rsidP="00293B6D">
      <w:pPr>
        <w:pStyle w:val="ListParagraph"/>
        <w:numPr>
          <w:ilvl w:val="0"/>
          <w:numId w:val="1"/>
        </w:numPr>
        <w:spacing w:after="0" w:line="240" w:lineRule="auto"/>
        <w:jc w:val="both"/>
        <w:rPr>
          <w:rFonts w:ascii="Arial Narrow" w:hAnsi="Arial Narrow"/>
          <w:sz w:val="28"/>
          <w:szCs w:val="28"/>
        </w:rPr>
      </w:pPr>
      <w:r w:rsidRPr="00725565">
        <w:rPr>
          <w:rFonts w:ascii="Arial Narrow" w:hAnsi="Arial Narrow"/>
          <w:sz w:val="28"/>
          <w:szCs w:val="28"/>
        </w:rPr>
        <w:t>A maximum of three (03) Outer Areas can be booked for the same dates.</w:t>
      </w:r>
    </w:p>
    <w:p w:rsidR="00293B6D" w:rsidRPr="007E530B" w:rsidRDefault="00293B6D" w:rsidP="00293B6D">
      <w:pPr>
        <w:pStyle w:val="ListParagraph"/>
        <w:rPr>
          <w:rFonts w:ascii="Arial Narrow" w:hAnsi="Arial Narrow"/>
          <w:sz w:val="28"/>
          <w:szCs w:val="28"/>
        </w:rPr>
      </w:pPr>
    </w:p>
    <w:p w:rsidR="00293B6D" w:rsidRDefault="00293B6D" w:rsidP="00293B6D">
      <w:pPr>
        <w:pStyle w:val="ListParagraph"/>
        <w:numPr>
          <w:ilvl w:val="0"/>
          <w:numId w:val="1"/>
        </w:numPr>
        <w:spacing w:after="0" w:line="240" w:lineRule="auto"/>
        <w:jc w:val="both"/>
        <w:rPr>
          <w:rFonts w:ascii="Arial Narrow" w:hAnsi="Arial Narrow"/>
          <w:sz w:val="28"/>
          <w:szCs w:val="28"/>
        </w:rPr>
      </w:pPr>
      <w:r w:rsidRPr="00725565">
        <w:rPr>
          <w:rFonts w:ascii="Arial Narrow" w:hAnsi="Arial Narrow"/>
          <w:sz w:val="28"/>
          <w:szCs w:val="28"/>
        </w:rPr>
        <w:t>The Event Organizer will arrange for power and any other utilities required for the setup, event, and dismantling days at his own cost.</w:t>
      </w:r>
    </w:p>
    <w:p w:rsidR="00293B6D" w:rsidRPr="00725565" w:rsidRDefault="00293B6D" w:rsidP="00293B6D">
      <w:pPr>
        <w:pStyle w:val="ListParagraph"/>
        <w:spacing w:after="0" w:line="240" w:lineRule="auto"/>
        <w:jc w:val="both"/>
        <w:rPr>
          <w:rFonts w:ascii="Arial Narrow" w:hAnsi="Arial Narrow"/>
          <w:sz w:val="28"/>
          <w:szCs w:val="28"/>
        </w:rPr>
      </w:pPr>
    </w:p>
    <w:p w:rsidR="00293B6D" w:rsidRDefault="00293B6D" w:rsidP="00293B6D">
      <w:pPr>
        <w:pStyle w:val="ListParagraph"/>
        <w:numPr>
          <w:ilvl w:val="0"/>
          <w:numId w:val="1"/>
        </w:numPr>
        <w:spacing w:after="0" w:line="240" w:lineRule="auto"/>
        <w:jc w:val="both"/>
        <w:rPr>
          <w:rFonts w:ascii="Arial Narrow" w:hAnsi="Arial Narrow"/>
          <w:sz w:val="28"/>
          <w:szCs w:val="28"/>
        </w:rPr>
      </w:pPr>
      <w:r w:rsidRPr="00725565">
        <w:rPr>
          <w:rFonts w:ascii="Arial Narrow" w:hAnsi="Arial Narrow"/>
          <w:sz w:val="28"/>
          <w:szCs w:val="28"/>
        </w:rPr>
        <w:t>Rental charges of Outer Area only includes provisioning of Raw Space</w:t>
      </w:r>
      <w:r>
        <w:rPr>
          <w:rFonts w:ascii="Arial Narrow" w:hAnsi="Arial Narrow"/>
          <w:sz w:val="28"/>
          <w:szCs w:val="28"/>
        </w:rPr>
        <w:t>.</w:t>
      </w:r>
    </w:p>
    <w:p w:rsidR="00293B6D" w:rsidRPr="007E530B" w:rsidRDefault="00293B6D" w:rsidP="00293B6D">
      <w:pPr>
        <w:pStyle w:val="ListParagraph"/>
        <w:rPr>
          <w:rFonts w:ascii="Arial Narrow" w:hAnsi="Arial Narrow"/>
          <w:sz w:val="28"/>
          <w:szCs w:val="28"/>
        </w:rPr>
      </w:pPr>
    </w:p>
    <w:p w:rsidR="00293B6D" w:rsidRDefault="00293B6D" w:rsidP="00293B6D">
      <w:pPr>
        <w:pStyle w:val="ListParagraph"/>
        <w:numPr>
          <w:ilvl w:val="0"/>
          <w:numId w:val="1"/>
        </w:numPr>
        <w:spacing w:after="0" w:line="240" w:lineRule="auto"/>
        <w:jc w:val="both"/>
        <w:rPr>
          <w:rFonts w:ascii="Arial Narrow" w:hAnsi="Arial Narrow"/>
          <w:sz w:val="28"/>
          <w:szCs w:val="28"/>
        </w:rPr>
      </w:pPr>
      <w:r w:rsidRPr="00725565">
        <w:rPr>
          <w:rFonts w:ascii="Arial Narrow" w:hAnsi="Arial Narrow"/>
          <w:sz w:val="28"/>
          <w:szCs w:val="28"/>
        </w:rPr>
        <w:t>Security Deposit for one (01) Outer Area will be PKR 75,000/-</w:t>
      </w:r>
      <w:r>
        <w:rPr>
          <w:rFonts w:ascii="Arial Narrow" w:hAnsi="Arial Narrow"/>
          <w:sz w:val="28"/>
          <w:szCs w:val="28"/>
        </w:rPr>
        <w:t>.</w:t>
      </w:r>
    </w:p>
    <w:p w:rsidR="00293B6D" w:rsidRPr="007E530B" w:rsidRDefault="00293B6D" w:rsidP="00293B6D">
      <w:pPr>
        <w:pStyle w:val="ListParagraph"/>
        <w:rPr>
          <w:rFonts w:ascii="Arial Narrow" w:hAnsi="Arial Narrow"/>
          <w:sz w:val="28"/>
          <w:szCs w:val="28"/>
        </w:rPr>
      </w:pPr>
    </w:p>
    <w:p w:rsidR="00293B6D" w:rsidRDefault="00293B6D" w:rsidP="00293B6D">
      <w:pPr>
        <w:pStyle w:val="ListParagraph"/>
        <w:numPr>
          <w:ilvl w:val="0"/>
          <w:numId w:val="1"/>
        </w:numPr>
        <w:spacing w:after="0" w:line="240" w:lineRule="auto"/>
        <w:jc w:val="both"/>
        <w:rPr>
          <w:rFonts w:ascii="Arial Narrow" w:hAnsi="Arial Narrow"/>
          <w:sz w:val="28"/>
          <w:szCs w:val="28"/>
        </w:rPr>
      </w:pPr>
      <w:r w:rsidRPr="00725565">
        <w:rPr>
          <w:rFonts w:ascii="Arial Narrow" w:hAnsi="Arial Narrow"/>
          <w:sz w:val="28"/>
          <w:szCs w:val="28"/>
        </w:rPr>
        <w:t>Subsequent to dismantling, deductions will be made from the Security Deposit for any damage caused to any installation, roads and/or property of Karachi Expo Centre</w:t>
      </w:r>
    </w:p>
    <w:p w:rsidR="00293B6D" w:rsidRPr="007E530B" w:rsidRDefault="00293B6D" w:rsidP="00293B6D">
      <w:pPr>
        <w:pStyle w:val="ListParagraph"/>
        <w:rPr>
          <w:rFonts w:ascii="Arial Narrow" w:hAnsi="Arial Narrow"/>
          <w:sz w:val="28"/>
          <w:szCs w:val="28"/>
        </w:rPr>
      </w:pPr>
    </w:p>
    <w:p w:rsidR="00293B6D" w:rsidRPr="00725565" w:rsidRDefault="00293B6D" w:rsidP="00293B6D">
      <w:pPr>
        <w:pStyle w:val="ListParagraph"/>
        <w:numPr>
          <w:ilvl w:val="0"/>
          <w:numId w:val="1"/>
        </w:numPr>
        <w:spacing w:after="0" w:line="240" w:lineRule="auto"/>
        <w:jc w:val="both"/>
        <w:rPr>
          <w:rFonts w:ascii="Arial Narrow" w:hAnsi="Arial Narrow"/>
          <w:sz w:val="28"/>
          <w:szCs w:val="28"/>
        </w:rPr>
      </w:pPr>
      <w:r w:rsidRPr="00725565">
        <w:rPr>
          <w:rFonts w:ascii="Arial Narrow" w:hAnsi="Arial Narrow"/>
          <w:sz w:val="28"/>
          <w:szCs w:val="28"/>
        </w:rPr>
        <w:t>In case an event is already booked in any Hall adjacent to an Outer Area, first preference for renting out that Outer Area will be given to the Event Organizer, which has booked the Hall.</w:t>
      </w:r>
    </w:p>
    <w:p w:rsidR="00293B6D" w:rsidRPr="00725565" w:rsidRDefault="00293B6D" w:rsidP="00293B6D">
      <w:pPr>
        <w:spacing w:after="0" w:line="240" w:lineRule="auto"/>
        <w:rPr>
          <w:rFonts w:ascii="Arial Narrow" w:hAnsi="Arial Narrow" w:cstheme="minorHAnsi"/>
          <w:sz w:val="28"/>
          <w:szCs w:val="28"/>
        </w:rPr>
      </w:pPr>
    </w:p>
    <w:p w:rsidR="00293B6D" w:rsidRPr="00725565" w:rsidRDefault="00293B6D" w:rsidP="00293B6D">
      <w:pPr>
        <w:rPr>
          <w:rFonts w:ascii="Arial Narrow" w:hAnsi="Arial Narrow"/>
          <w:sz w:val="28"/>
          <w:szCs w:val="28"/>
        </w:rPr>
      </w:pPr>
    </w:p>
    <w:p w:rsidR="00293B6D" w:rsidRPr="00AC7A15" w:rsidRDefault="00293B6D">
      <w:pPr>
        <w:rPr>
          <w:rFonts w:asciiTheme="minorBidi" w:hAnsiTheme="minorBidi"/>
          <w:sz w:val="28"/>
          <w:szCs w:val="28"/>
        </w:rPr>
      </w:pPr>
    </w:p>
    <w:sectPr w:rsidR="00293B6D" w:rsidRPr="00AC7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B02FF"/>
    <w:multiLevelType w:val="hybridMultilevel"/>
    <w:tmpl w:val="2D5C8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15"/>
    <w:rsid w:val="00293B6D"/>
    <w:rsid w:val="00AC7A15"/>
    <w:rsid w:val="00DA57D4"/>
    <w:rsid w:val="00DE2691"/>
    <w:rsid w:val="00F06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1EA85-335B-4906-8F7B-8432F9A2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dc:creator>
  <cp:keywords/>
  <dc:description/>
  <cp:lastModifiedBy>Microsoft account</cp:lastModifiedBy>
  <cp:revision>2</cp:revision>
  <dcterms:created xsi:type="dcterms:W3CDTF">2023-08-21T06:36:00Z</dcterms:created>
  <dcterms:modified xsi:type="dcterms:W3CDTF">2023-08-21T06:36:00Z</dcterms:modified>
</cp:coreProperties>
</file>